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95" w:rsidRDefault="00DB5695"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r w:rsidRPr="00DB5695">
        <w:rPr>
          <w:rFonts w:ascii="標楷體" w:eastAsia="標楷體" w:hAnsi="標楷體"/>
          <w:b/>
          <w:bCs/>
          <w:color w:val="000000" w:themeColor="text1"/>
          <w:sz w:val="32"/>
          <w:szCs w:val="32"/>
        </w:rPr>
        <w:t>臺南市</w:t>
      </w:r>
      <w:r w:rsidR="00436D88">
        <w:rPr>
          <w:rFonts w:ascii="標楷體" w:eastAsia="標楷體" w:hAnsi="標楷體" w:hint="eastAsia"/>
          <w:b/>
          <w:bCs/>
          <w:color w:val="000000" w:themeColor="text1"/>
          <w:sz w:val="32"/>
          <w:szCs w:val="32"/>
        </w:rPr>
        <w:t>立將軍國民中學</w:t>
      </w:r>
      <w:r w:rsidR="000B0AF4"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000B0AF4" w:rsidRPr="00997A4C">
        <w:rPr>
          <w:rFonts w:ascii="標楷體" w:eastAsia="標楷體" w:hAnsi="標楷體" w:hint="eastAsia"/>
          <w:b/>
          <w:bCs/>
          <w:color w:val="000000" w:themeColor="text1"/>
          <w:sz w:val="32"/>
          <w:szCs w:val="32"/>
        </w:rPr>
        <w:t>公開標租案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r w:rsidR="00FD3636" w:rsidRPr="00DB5695">
        <w:rPr>
          <w:rFonts w:ascii="Times New Roman" w:hAnsi="標楷體"/>
          <w:color w:val="000000" w:themeColor="text1"/>
          <w:szCs w:val="28"/>
          <w:u w:val="single"/>
        </w:rPr>
        <w:t>臺南市市有財產管理自治條例</w:t>
      </w:r>
      <w:r w:rsidR="00FD3636" w:rsidRPr="00997A4C">
        <w:rPr>
          <w:rFonts w:ascii="Times New Roman" w:hAnsi="標楷體"/>
          <w:color w:val="000000" w:themeColor="text1"/>
          <w:szCs w:val="28"/>
        </w:rPr>
        <w:t>、</w:t>
      </w:r>
      <w:r w:rsidR="00FD3636" w:rsidRPr="00DB5695">
        <w:rPr>
          <w:rFonts w:ascii="Times New Roman" w:hAnsi="標楷體"/>
          <w:color w:val="000000" w:themeColor="text1"/>
          <w:szCs w:val="28"/>
          <w:u w:val="single"/>
        </w:rPr>
        <w:t>臺南市市管公有房地設置太陽光電發電系統標租作業要點</w:t>
      </w:r>
      <w:r w:rsidR="00E674A7" w:rsidRPr="00DB5695">
        <w:rPr>
          <w:rFonts w:ascii="Times New Roman" w:hAnsi="標楷體"/>
          <w:color w:val="000000" w:themeColor="text1"/>
          <w:szCs w:val="28"/>
          <w:u w:val="single"/>
        </w:rPr>
        <w:t>及租賃契約書</w:t>
      </w:r>
      <w:bookmarkStart w:id="1" w:name="_GoBack"/>
      <w:bookmarkEnd w:id="1"/>
      <w:r w:rsidR="00204E7B" w:rsidRPr="00204E7B">
        <w:rPr>
          <w:rFonts w:ascii="Times New Roman" w:hAnsi="標楷體"/>
          <w:color w:val="000000" w:themeColor="text1"/>
          <w:szCs w:val="28"/>
        </w:rPr>
        <w:t>、及</w:t>
      </w:r>
      <w:r w:rsidR="00204E7B" w:rsidRPr="00DB5695">
        <w:rPr>
          <w:rFonts w:ascii="Times New Roman" w:hAnsi="標楷體"/>
          <w:color w:val="000000" w:themeColor="text1"/>
          <w:szCs w:val="28"/>
          <w:u w:val="single"/>
        </w:rPr>
        <w:t>臺南市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系統設置容量：指欲裝設之太陽光電設施組列中所有模組額定功率（模組額定功率以模組標籤上標示之功率為憑）之總合。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瓩（kW）：千瓦，發電設備容量的計算單位；1瓩=1000瓦（Watt）。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百萬峰瓦（MWp）：等同於1000峰瓩（10</w:t>
      </w:r>
      <w:r w:rsidRPr="00997A4C">
        <w:rPr>
          <w:rFonts w:hAnsi="標楷體"/>
          <w:color w:val="000000" w:themeColor="text1"/>
          <w:position w:val="12"/>
          <w:sz w:val="20"/>
        </w:rPr>
        <w:t>3</w:t>
      </w:r>
      <w:r w:rsidRPr="00997A4C">
        <w:rPr>
          <w:rFonts w:hAnsi="標楷體"/>
          <w:color w:val="000000" w:themeColor="text1"/>
          <w:szCs w:val="28"/>
        </w:rPr>
        <w:t xml:space="preserve">kWp）/峰瓩（kWp）：指裝設的太陽電池範本在標準狀況下（即範本溫度25℃、轉換轉換效率15%）：最大發電量總和。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（kWp）</w:t>
      </w:r>
      <w:r w:rsidR="009B73FD" w:rsidRPr="00997A4C">
        <w:rPr>
          <w:rFonts w:hAnsi="標楷體"/>
          <w:color w:val="000000" w:themeColor="text1"/>
          <w:szCs w:val="28"/>
        </w:rPr>
        <w:t>以上</w:t>
      </w:r>
      <w:r w:rsidRPr="00997A4C">
        <w:rPr>
          <w:rFonts w:hAnsi="標楷體"/>
          <w:color w:val="000000" w:themeColor="text1"/>
          <w:szCs w:val="28"/>
        </w:rPr>
        <w:t>。</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本標租案業經本</w:t>
      </w:r>
      <w:r w:rsidRPr="00997A4C">
        <w:rPr>
          <w:rFonts w:hAnsi="標楷體"/>
          <w:color w:val="000000" w:themeColor="text1"/>
          <w:szCs w:val="28"/>
        </w:rPr>
        <w:t>府教育局</w:t>
      </w:r>
      <w:r>
        <w:rPr>
          <w:rFonts w:hAnsi="標楷體"/>
          <w:color w:val="000000" w:themeColor="text1"/>
          <w:szCs w:val="28"/>
        </w:rPr>
        <w:t>同意辦理。</w:t>
      </w:r>
    </w:p>
    <w:p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 xml:space="preserve">並締結契約者。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lastRenderedPageBreak/>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r w:rsidRPr="00997A4C">
        <w:rPr>
          <w:rFonts w:hAnsi="標楷體"/>
          <w:color w:val="000000" w:themeColor="text1"/>
          <w:szCs w:val="28"/>
        </w:rPr>
        <w:t xml:space="preserve">採公開標租方式得出。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請擇一勾選：</w:t>
      </w:r>
    </w:p>
    <w:p w:rsidR="00B34BC9" w:rsidRPr="00B34BC9" w:rsidRDefault="00B34BC9"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rsidR="00B34BC9" w:rsidRPr="00B34BC9" w:rsidRDefault="00B34BC9" w:rsidP="00B34BC9">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B34BC9">
        <w:rPr>
          <w:rFonts w:ascii="Times New Roman" w:eastAsia="標楷體" w:hAnsi="標楷體" w:cs="Times New Roman" w:hint="eastAsia"/>
          <w:color w:val="000000" w:themeColor="text1"/>
          <w:kern w:val="2"/>
          <w:sz w:val="28"/>
          <w:szCs w:val="28"/>
        </w:rPr>
        <w:sym w:font="Wingdings" w:char="F06F"/>
      </w:r>
      <w:r w:rsidRPr="00B34BC9">
        <w:rPr>
          <w:rFonts w:ascii="Times New Roman" w:eastAsia="標楷體" w:hAnsi="標楷體" w:cs="Times New Roman" w:hint="eastAsia"/>
          <w:color w:val="000000" w:themeColor="text1"/>
          <w:kern w:val="2"/>
          <w:sz w:val="28"/>
          <w:szCs w:val="28"/>
        </w:rPr>
        <w:t>2.</w:t>
      </w:r>
      <w:r w:rsidRPr="00B34BC9">
        <w:rPr>
          <w:rFonts w:ascii="Times New Roman" w:eastAsia="標楷體" w:hAnsi="標楷體" w:cs="Times New Roman" w:hint="eastAsia"/>
          <w:color w:val="000000" w:themeColor="text1"/>
          <w:kern w:val="2"/>
          <w:sz w:val="28"/>
          <w:szCs w:val="28"/>
        </w:rPr>
        <w:t>地面型太陽光電：建物由廠商興建後加裝太陽光電板。</w:t>
      </w:r>
    </w:p>
    <w:p w:rsidR="004B499F" w:rsidRPr="00E741B0" w:rsidRDefault="00436D88" w:rsidP="00E741B0">
      <w:pPr>
        <w:suppressAutoHyphens/>
        <w:autoSpaceDN w:val="0"/>
        <w:snapToGrid w:val="0"/>
        <w:spacing w:line="440" w:lineRule="exact"/>
        <w:ind w:leftChars="531" w:left="1840" w:hangingChars="202" w:hanging="566"/>
        <w:jc w:val="both"/>
        <w:textAlignment w:val="baseline"/>
        <w:rPr>
          <w:rFonts w:eastAsia="標楷體" w:hAnsi="標楷體"/>
          <w:color w:val="FF0000"/>
          <w:sz w:val="28"/>
          <w:szCs w:val="28"/>
        </w:rPr>
      </w:pPr>
      <w:r>
        <w:rPr>
          <w:rFonts w:ascii="新細明體" w:hAnsi="新細明體" w:hint="eastAsia"/>
          <w:color w:val="000000" w:themeColor="text1"/>
          <w:sz w:val="28"/>
          <w:szCs w:val="28"/>
        </w:rPr>
        <w:t>■</w:t>
      </w:r>
      <w:r w:rsidR="00B34BC9" w:rsidRPr="00B34BC9">
        <w:rPr>
          <w:rFonts w:eastAsia="標楷體" w:hAnsi="標楷體" w:hint="eastAsia"/>
          <w:color w:val="000000" w:themeColor="text1"/>
          <w:sz w:val="28"/>
          <w:szCs w:val="28"/>
        </w:rPr>
        <w:t>3.</w:t>
      </w:r>
      <w:r w:rsidR="00B34BC9" w:rsidRPr="00B34BC9">
        <w:rPr>
          <w:rFonts w:eastAsia="標楷體" w:hAnsi="標楷體" w:hint="eastAsia"/>
          <w:color w:val="000000" w:themeColor="text1"/>
          <w:sz w:val="28"/>
          <w:szCs w:val="28"/>
        </w:rPr>
        <w:t>綜合型太陽光電：同時包含屋頂型及地面型</w:t>
      </w:r>
      <w:r w:rsidR="00B34BC9" w:rsidRPr="00B34BC9">
        <w:rPr>
          <w:rFonts w:eastAsia="標楷體" w:hAnsi="標楷體" w:hint="eastAsia"/>
          <w:color w:val="FF0000"/>
          <w:sz w:val="28"/>
          <w:szCs w:val="28"/>
        </w:rPr>
        <w:t>（本校</w:t>
      </w:r>
      <w:r>
        <w:rPr>
          <w:rFonts w:eastAsia="標楷體" w:hAnsi="標楷體" w:hint="eastAsia"/>
          <w:color w:val="FF0000"/>
          <w:sz w:val="28"/>
          <w:szCs w:val="28"/>
        </w:rPr>
        <w:t>專科教室</w:t>
      </w:r>
      <w:r w:rsidR="00B34BC9" w:rsidRPr="00B34BC9">
        <w:rPr>
          <w:rFonts w:eastAsia="標楷體" w:hAnsi="標楷體" w:hint="eastAsia"/>
          <w:color w:val="FF0000"/>
          <w:sz w:val="28"/>
          <w:szCs w:val="28"/>
        </w:rPr>
        <w:t>屋頂基地面積</w:t>
      </w:r>
      <w:r w:rsidR="00E741B0">
        <w:rPr>
          <w:rFonts w:eastAsia="標楷體" w:hAnsi="標楷體" w:hint="eastAsia"/>
          <w:color w:val="FF0000"/>
          <w:sz w:val="28"/>
          <w:szCs w:val="28"/>
        </w:rPr>
        <w:t>2</w:t>
      </w:r>
      <w:r w:rsidR="00E741B0">
        <w:rPr>
          <w:rFonts w:eastAsia="標楷體" w:hAnsi="標楷體"/>
          <w:color w:val="FF0000"/>
          <w:sz w:val="28"/>
          <w:szCs w:val="28"/>
        </w:rPr>
        <w:t>00</w:t>
      </w:r>
      <w:r w:rsidR="00B34BC9" w:rsidRPr="00B34BC9">
        <w:rPr>
          <w:rFonts w:eastAsia="標楷體" w:hAnsi="標楷體"/>
          <w:color w:val="FF0000"/>
          <w:sz w:val="28"/>
          <w:szCs w:val="28"/>
        </w:rPr>
        <w:t>平方公尺</w:t>
      </w:r>
      <w:r w:rsidR="00B34BC9" w:rsidRPr="00B34BC9">
        <w:rPr>
          <w:rFonts w:eastAsia="標楷體" w:hAnsi="標楷體" w:hint="eastAsia"/>
          <w:color w:val="FF0000"/>
          <w:sz w:val="28"/>
          <w:szCs w:val="28"/>
        </w:rPr>
        <w:t>、</w:t>
      </w:r>
      <w:r>
        <w:rPr>
          <w:rFonts w:eastAsia="標楷體" w:hAnsi="標楷體" w:hint="eastAsia"/>
          <w:color w:val="FF0000"/>
          <w:sz w:val="28"/>
          <w:szCs w:val="28"/>
        </w:rPr>
        <w:t>西北</w:t>
      </w:r>
      <w:r w:rsidR="00B34BC9" w:rsidRPr="00B34BC9">
        <w:rPr>
          <w:rFonts w:eastAsia="標楷體" w:hAnsi="標楷體" w:hint="eastAsia"/>
          <w:color w:val="FF0000"/>
          <w:sz w:val="28"/>
          <w:szCs w:val="28"/>
        </w:rPr>
        <w:t>側</w:t>
      </w:r>
      <w:r>
        <w:rPr>
          <w:rFonts w:eastAsia="標楷體" w:hAnsi="標楷體" w:hint="eastAsia"/>
          <w:color w:val="FF0000"/>
          <w:sz w:val="28"/>
          <w:szCs w:val="28"/>
        </w:rPr>
        <w:t>空地</w:t>
      </w:r>
      <w:r w:rsidR="00B34BC9" w:rsidRPr="00B34BC9">
        <w:rPr>
          <w:rFonts w:eastAsia="標楷體" w:hAnsi="標楷體" w:hint="eastAsia"/>
          <w:color w:val="FF0000"/>
          <w:sz w:val="28"/>
          <w:szCs w:val="28"/>
        </w:rPr>
        <w:t>，基地面積</w:t>
      </w:r>
      <w:r w:rsidR="00E741B0">
        <w:rPr>
          <w:rFonts w:eastAsia="標楷體" w:hAnsi="標楷體" w:hint="eastAsia"/>
          <w:color w:val="FF0000"/>
          <w:sz w:val="28"/>
          <w:szCs w:val="28"/>
        </w:rPr>
        <w:t>4</w:t>
      </w:r>
      <w:r w:rsidR="00E741B0">
        <w:rPr>
          <w:rFonts w:eastAsia="標楷體" w:hAnsi="標楷體"/>
          <w:color w:val="FF0000"/>
          <w:sz w:val="28"/>
          <w:szCs w:val="28"/>
        </w:rPr>
        <w:t>2</w:t>
      </w:r>
      <w:r w:rsidR="00E741B0">
        <w:rPr>
          <w:rFonts w:eastAsia="標楷體" w:hAnsi="標楷體" w:hint="eastAsia"/>
          <w:color w:val="FF0000"/>
          <w:sz w:val="28"/>
          <w:szCs w:val="28"/>
        </w:rPr>
        <w:t>00</w:t>
      </w:r>
      <w:r w:rsidR="00B34BC9" w:rsidRPr="00B34BC9">
        <w:rPr>
          <w:rFonts w:eastAsia="標楷體" w:hAnsi="標楷體"/>
          <w:color w:val="FF0000"/>
          <w:sz w:val="28"/>
          <w:szCs w:val="28"/>
        </w:rPr>
        <w:t>平方公尺，</w:t>
      </w:r>
      <w:r>
        <w:rPr>
          <w:rFonts w:eastAsia="標楷體" w:hAnsi="標楷體" w:hint="eastAsia"/>
          <w:color w:val="FF0000"/>
          <w:sz w:val="28"/>
          <w:szCs w:val="28"/>
        </w:rPr>
        <w:t>活動中心西側空地</w:t>
      </w:r>
      <w:r w:rsidR="00E741B0">
        <w:rPr>
          <w:rFonts w:eastAsia="標楷體" w:hAnsi="標楷體" w:hint="eastAsia"/>
          <w:color w:val="FF0000"/>
          <w:sz w:val="28"/>
          <w:szCs w:val="28"/>
        </w:rPr>
        <w:t>，</w:t>
      </w:r>
      <w:r>
        <w:rPr>
          <w:rFonts w:eastAsia="標楷體" w:hAnsi="標楷體" w:hint="eastAsia"/>
          <w:color w:val="FF0000"/>
          <w:sz w:val="28"/>
          <w:szCs w:val="28"/>
        </w:rPr>
        <w:t>基地面積</w:t>
      </w:r>
      <w:r w:rsidR="00E741B0">
        <w:rPr>
          <w:rFonts w:eastAsia="標楷體" w:hAnsi="標楷體" w:hint="eastAsia"/>
          <w:color w:val="FF0000"/>
          <w:sz w:val="28"/>
          <w:szCs w:val="28"/>
        </w:rPr>
        <w:t>1</w:t>
      </w:r>
      <w:r w:rsidR="00E741B0">
        <w:rPr>
          <w:rFonts w:eastAsia="標楷體" w:hAnsi="標楷體"/>
          <w:color w:val="FF0000"/>
          <w:sz w:val="28"/>
          <w:szCs w:val="28"/>
        </w:rPr>
        <w:t>050</w:t>
      </w:r>
      <w:r w:rsidR="00E741B0">
        <w:rPr>
          <w:rFonts w:eastAsia="標楷體" w:hAnsi="標楷體" w:hint="eastAsia"/>
          <w:color w:val="FF0000"/>
          <w:sz w:val="28"/>
          <w:szCs w:val="28"/>
        </w:rPr>
        <w:t>平方公尺</w:t>
      </w:r>
      <w:r>
        <w:rPr>
          <w:rFonts w:eastAsia="標楷體" w:hAnsi="標楷體" w:hint="eastAsia"/>
          <w:color w:val="FF0000"/>
          <w:sz w:val="28"/>
          <w:szCs w:val="28"/>
        </w:rPr>
        <w:t>、操場北側籃球場</w:t>
      </w:r>
      <w:r w:rsidR="00E741B0">
        <w:rPr>
          <w:rFonts w:eastAsia="標楷體" w:hAnsi="標楷體" w:hint="eastAsia"/>
          <w:color w:val="FF0000"/>
          <w:sz w:val="28"/>
          <w:szCs w:val="28"/>
        </w:rPr>
        <w:t>，</w:t>
      </w:r>
      <w:r>
        <w:rPr>
          <w:rFonts w:eastAsia="標楷體" w:hAnsi="標楷體" w:hint="eastAsia"/>
          <w:color w:val="FF0000"/>
          <w:sz w:val="28"/>
          <w:szCs w:val="28"/>
        </w:rPr>
        <w:t>基地面積</w:t>
      </w:r>
      <w:r w:rsidR="00E741B0">
        <w:rPr>
          <w:rFonts w:eastAsia="標楷體" w:hAnsi="標楷體" w:hint="eastAsia"/>
          <w:color w:val="FF0000"/>
          <w:sz w:val="28"/>
          <w:szCs w:val="28"/>
        </w:rPr>
        <w:t>480</w:t>
      </w:r>
      <w:r w:rsidR="00E741B0">
        <w:rPr>
          <w:rFonts w:eastAsia="標楷體" w:hAnsi="標楷體" w:hint="eastAsia"/>
          <w:color w:val="FF0000"/>
          <w:sz w:val="28"/>
          <w:szCs w:val="28"/>
        </w:rPr>
        <w:t>平方公尺</w:t>
      </w:r>
      <w:r>
        <w:rPr>
          <w:rFonts w:eastAsia="標楷體" w:hAnsi="標楷體" w:hint="eastAsia"/>
          <w:color w:val="FF0000"/>
          <w:sz w:val="28"/>
          <w:szCs w:val="28"/>
        </w:rPr>
        <w:t>，</w:t>
      </w:r>
      <w:r w:rsidR="00B34BC9" w:rsidRPr="00B34BC9">
        <w:rPr>
          <w:rFonts w:eastAsia="標楷體" w:hAnsi="標楷體"/>
          <w:color w:val="FF0000"/>
          <w:sz w:val="28"/>
          <w:szCs w:val="28"/>
        </w:rPr>
        <w:t>合計</w:t>
      </w:r>
      <w:r w:rsidR="00E741B0">
        <w:rPr>
          <w:rFonts w:eastAsia="標楷體" w:hAnsi="標楷體" w:hint="eastAsia"/>
          <w:color w:val="FF0000"/>
          <w:sz w:val="28"/>
          <w:szCs w:val="28"/>
        </w:rPr>
        <w:t>5930</w:t>
      </w:r>
      <w:r w:rsidR="00B34BC9" w:rsidRPr="00B34BC9">
        <w:rPr>
          <w:rFonts w:eastAsia="標楷體" w:hAnsi="標楷體"/>
          <w:color w:val="FF0000"/>
          <w:sz w:val="28"/>
          <w:szCs w:val="28"/>
        </w:rPr>
        <w:t>平方公尺</w:t>
      </w:r>
      <w:r w:rsidR="00B34BC9" w:rsidRPr="00B34BC9">
        <w:rPr>
          <w:rFonts w:eastAsia="標楷體" w:hAnsi="標楷體" w:hint="eastAsia"/>
          <w:color w:val="FF0000"/>
          <w:sz w:val="28"/>
          <w:szCs w:val="28"/>
        </w:rPr>
        <w:t>）</w:t>
      </w:r>
      <w:r w:rsidR="00B34BC9" w:rsidRPr="00B34BC9">
        <w:rPr>
          <w:rFonts w:eastAsia="標楷體" w:hAnsi="標楷體" w:hint="eastAsia"/>
          <w:color w:val="000000" w:themeColor="text1"/>
          <w:sz w:val="28"/>
          <w:szCs w:val="28"/>
        </w:rPr>
        <w:t>。</w:t>
      </w:r>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r w:rsidR="00F67529" w:rsidRPr="00997A4C">
        <w:rPr>
          <w:rFonts w:eastAsia="標楷體" w:hAnsi="標楷體" w:hint="eastAsia"/>
          <w:color w:val="000000" w:themeColor="text1"/>
          <w:sz w:val="28"/>
          <w:szCs w:val="28"/>
        </w:rPr>
        <w:t>臺南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w:t>
      </w:r>
      <w:r w:rsidRPr="00997A4C">
        <w:rPr>
          <w:rFonts w:eastAsia="標楷體" w:hAnsi="標楷體" w:hint="eastAsia"/>
          <w:color w:val="000000" w:themeColor="text1"/>
          <w:sz w:val="28"/>
          <w:szCs w:val="28"/>
        </w:rPr>
        <w:lastRenderedPageBreak/>
        <w:t>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出租期間各太陽光電發電設備運作產生之碳權或再生能源證明歸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997A4C"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基本設備設置容量</w:t>
      </w:r>
      <w:r w:rsidR="00E674A7" w:rsidRPr="00997A4C">
        <w:rPr>
          <w:rFonts w:ascii="標楷體" w:eastAsia="標楷體" w:hAnsi="標楷體" w:hint="eastAsia"/>
          <w:color w:val="000000" w:themeColor="text1"/>
          <w:sz w:val="28"/>
          <w:szCs w:val="28"/>
        </w:rPr>
        <w:t>：</w:t>
      </w:r>
      <w:r w:rsidR="000D742B" w:rsidRPr="00997A4C">
        <w:rPr>
          <w:rFonts w:hAnsi="標楷體"/>
          <w:color w:val="000000" w:themeColor="text1"/>
          <w:szCs w:val="28"/>
        </w:rPr>
        <w:t>須達本案標的所載基地面積</w:t>
      </w:r>
      <w:r w:rsidR="000D742B" w:rsidRPr="00997A4C">
        <w:rPr>
          <w:rFonts w:hAnsi="標楷體"/>
          <w:color w:val="000000" w:themeColor="text1"/>
          <w:szCs w:val="28"/>
        </w:rPr>
        <w:t>8%</w:t>
      </w:r>
      <w:r w:rsidR="000D742B" w:rsidRPr="00997A4C">
        <w:rPr>
          <w:rFonts w:hAnsi="標楷體"/>
          <w:color w:val="000000" w:themeColor="text1"/>
          <w:szCs w:val="28"/>
        </w:rPr>
        <w:t>（</w:t>
      </w:r>
      <w:r w:rsidR="000D742B" w:rsidRPr="00997A4C">
        <w:rPr>
          <w:rFonts w:hAnsi="標楷體"/>
          <w:color w:val="000000" w:themeColor="text1"/>
          <w:szCs w:val="28"/>
        </w:rPr>
        <w:t>kWp</w:t>
      </w:r>
      <w:r w:rsidR="000D742B" w:rsidRPr="00997A4C">
        <w:rPr>
          <w:rFonts w:hAnsi="標楷體"/>
          <w:color w:val="000000" w:themeColor="text1"/>
          <w:szCs w:val="28"/>
        </w:rPr>
        <w:t>）以上。</w:t>
      </w:r>
    </w:p>
    <w:p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int="eastAsia"/>
          <w:color w:val="000000" w:themeColor="text1"/>
          <w:sz w:val="28"/>
          <w:szCs w:val="28"/>
        </w:rPr>
        <w:t>擴充設備設置容量：</w:t>
      </w:r>
      <w:r w:rsidR="000D742B">
        <w:rPr>
          <w:rFonts w:eastAsia="標楷體" w:hint="eastAsia"/>
          <w:color w:val="000000" w:themeColor="text1"/>
          <w:sz w:val="28"/>
          <w:szCs w:val="28"/>
        </w:rPr>
        <w:t>承租廠商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擴充設備設置容量之和，為廠商應完成之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w:t>
      </w:r>
      <w:r w:rsidR="009A0C7E" w:rsidRPr="009A0C7E">
        <w:rPr>
          <w:rFonts w:hAnsi="標楷體"/>
          <w:color w:val="0000FF"/>
          <w:szCs w:val="28"/>
        </w:rPr>
        <w:t>劃</w:t>
      </w:r>
      <w:r w:rsidRPr="00866A46">
        <w:rPr>
          <w:rFonts w:hAnsi="標楷體"/>
          <w:szCs w:val="28"/>
        </w:rPr>
        <w:t>書及報價參考最有利標精神擇符合需要者辦理議價，</w:t>
      </w:r>
      <w:r w:rsidRPr="00866A46">
        <w:rPr>
          <w:rFonts w:hAnsi="標楷體"/>
          <w:bCs/>
          <w:szCs w:val="28"/>
        </w:rPr>
        <w:t>採非固定價金，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之公司</w:t>
      </w:r>
      <w:r w:rsidR="0040154B" w:rsidRPr="00997A4C">
        <w:rPr>
          <w:rFonts w:eastAsia="標楷體" w:hAnsi="標楷體"/>
          <w:color w:val="000000" w:themeColor="text1"/>
          <w:sz w:val="28"/>
          <w:szCs w:val="28"/>
        </w:rPr>
        <w:t>且實收資本額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乙級以上電器承裝業（</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w:t>
      </w:r>
      <w:r w:rsidRPr="00997A4C">
        <w:rPr>
          <w:rFonts w:eastAsia="標楷體" w:hAnsi="標楷體"/>
          <w:color w:val="000000" w:themeColor="text1"/>
          <w:sz w:val="28"/>
          <w:szCs w:val="28"/>
        </w:rPr>
        <w:lastRenderedPageBreak/>
        <w:t>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再生能源躉購契約書頁面影本等相關證明文件。</w:t>
      </w:r>
      <w:r w:rsidR="00F17AD5" w:rsidRPr="00997A4C">
        <w:rPr>
          <w:rFonts w:eastAsia="標楷體" w:hAnsi="標楷體" w:hint="eastAsia"/>
          <w:color w:val="000000" w:themeColor="text1"/>
          <w:sz w:val="28"/>
          <w:szCs w:val="28"/>
        </w:rPr>
        <w:t>（如提供承攬合約證明視為無效）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本標租案不允許共同投標。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277D36">
      <w:pPr>
        <w:numPr>
          <w:ilvl w:val="0"/>
          <w:numId w:val="2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台電併電後開始計算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即行終止，不另行通知；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提出換約續租申請；逾期未申請者，視為無意續租。承租廠商辦理續租申請時，應注意下列事項：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經營年租金依</w:t>
      </w:r>
      <w:r w:rsidRPr="00075B78">
        <w:rPr>
          <w:rFonts w:eastAsia="標楷體" w:hAnsi="標楷體" w:hint="eastAsia"/>
          <w:bCs/>
          <w:color w:val="000000" w:themeColor="text1"/>
          <w:sz w:val="28"/>
          <w:szCs w:val="28"/>
        </w:rPr>
        <w:t>原售電回饋百分比計算，以</w:t>
      </w:r>
      <w:r w:rsidRPr="00075B78">
        <w:rPr>
          <w:rFonts w:eastAsia="標楷體" w:hAnsi="標楷體" w:hint="eastAsia"/>
          <w:bCs/>
          <w:color w:val="000000" w:themeColor="text1"/>
          <w:sz w:val="28"/>
          <w:szCs w:val="28"/>
        </w:rPr>
        <w:lastRenderedPageBreak/>
        <w:t>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之次日起算至</w:t>
      </w:r>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設備設置容量的認定為系統至少須完成併聯試運轉。未能依上述期間設置完成，每逾一日未完成應設置容量，按日收取懲罰性違約金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D6083F" w:rsidRPr="009A0C7E">
        <w:rPr>
          <w:rFonts w:eastAsia="標楷體" w:hAnsi="標楷體" w:hint="eastAsia"/>
          <w:color w:val="0000FF"/>
          <w:sz w:val="28"/>
          <w:szCs w:val="28"/>
          <w:u w:val="single"/>
        </w:rPr>
        <w:t>0.5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t>10%</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台電併電後開始計算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w:t>
      </w:r>
      <w:r w:rsidRPr="00997A4C">
        <w:rPr>
          <w:rFonts w:eastAsia="標楷體" w:hAnsi="標楷體"/>
          <w:color w:val="000000" w:themeColor="text1"/>
          <w:sz w:val="28"/>
          <w:szCs w:val="28"/>
        </w:rPr>
        <w:lastRenderedPageBreak/>
        <w:t>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因可歸責乙方之事由，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(kWp)</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 xml:space="preserve">-(不可歸責之系統設置容量(kWp))-(實際系統設置容量(kWp)】x(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,000(元/kWp))</w:t>
      </w:r>
      <w:r w:rsidR="00030CB1" w:rsidRPr="00997A4C">
        <w:rPr>
          <w:rFonts w:ascii="標楷體" w:eastAsia="標楷體" w:hAnsi="標楷體" w:hint="eastAsia"/>
          <w:color w:val="000000" w:themeColor="text1"/>
          <w:kern w:val="0"/>
          <w:sz w:val="28"/>
          <w:szCs w:val="28"/>
        </w:rPr>
        <w:t>；擴充設備設置容量之懲罰性違約金計算準用之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r w:rsidR="00377AB4" w:rsidRPr="00377AB4">
        <w:rPr>
          <w:rFonts w:ascii="標楷體" w:eastAsia="標楷體" w:hAnsi="標楷體" w:hint="eastAsia"/>
          <w:color w:val="000000" w:themeColor="text1"/>
          <w:sz w:val="28"/>
          <w:szCs w:val="28"/>
        </w:rPr>
        <w:t>結構柱高起算點為屋頂下緣起算7公尺為限，並符合現行建築法相關規定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373E63" w:rsidRDefault="00AA08F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AA08F7">
        <w:rPr>
          <w:rFonts w:ascii="標楷體" w:eastAsia="標楷體" w:hAnsi="標楷體" w:hint="eastAsia"/>
          <w:color w:val="0000FF"/>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w:t>
      </w:r>
      <w:r w:rsidR="00B1027C" w:rsidRPr="00997A4C">
        <w:rPr>
          <w:rFonts w:eastAsia="標楷體" w:hAnsi="標楷體" w:hint="eastAsia"/>
          <w:color w:val="000000" w:themeColor="text1"/>
          <w:sz w:val="28"/>
          <w:szCs w:val="28"/>
        </w:rPr>
        <w:lastRenderedPageBreak/>
        <w:t>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本標租案相關投標文件將公告於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，各階段之投標文件應分別密封後，再以大封套合併裝封。外封套外部須書明投標廠商名稱、地址及採購案號或投標標的。投標文件須於投標截止期限前，以郵遞或專人寄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lastRenderedPageBreak/>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投標應備文件包括下列各項，投標前應逐一填妥簽章，密封後投標，封套外部須書明投標廠商名稱、住址、標租標的，凡投標文件不齊全者或未按規定者，所投之標為無效標。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退還押標金申請書：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十日止，如機關無法於前開有效期內決標，得於必要時洽請</w:t>
      </w:r>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以下任繳一種：公司登記或商業登記證明文件、公司變更登記表、公司登記證明書或列印公開於目的事業主管機關網站之最新資料代之。另按經濟部公告「營利事業登記證」自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日起停止使用，不再作為證明文件，投標廠商請勿檢附；若為法人應檢具登記證明文件及代表人之資格證明文件。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登記營業項目須有電器承裝業（</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需檢附乙級以上電器承裝業登記執照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最近一期之營業稅繳款書收據聯或主管稽徵機關核章之最近一期營業人銷售額與稅額申報書收執聯。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w:t>
      </w:r>
      <w:r w:rsidRPr="00997A4C">
        <w:rPr>
          <w:rFonts w:eastAsia="標楷體" w:hAnsi="標楷體"/>
          <w:color w:val="000000" w:themeColor="text1"/>
          <w:sz w:val="28"/>
          <w:szCs w:val="28"/>
        </w:rPr>
        <w:lastRenderedPageBreak/>
        <w:t>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新設立且未屆第一期營業稅繳納期限者，得以營業稅主管稽徵機關核發之核准設立登記</w:t>
      </w:r>
      <w:r w:rsidR="00C1438B" w:rsidRPr="00997A4C">
        <w:rPr>
          <w:rFonts w:eastAsia="標楷體" w:hAnsi="標楷體"/>
          <w:color w:val="000000" w:themeColor="text1"/>
          <w:sz w:val="28"/>
          <w:szCs w:val="28"/>
        </w:rPr>
        <w:t>公函代之；經核定使用統一發票者，應一併檢附</w:t>
      </w:r>
      <w:r w:rsidRPr="00997A4C">
        <w:rPr>
          <w:rFonts w:eastAsia="標楷體" w:hAnsi="標楷體"/>
          <w:color w:val="000000" w:themeColor="text1"/>
          <w:sz w:val="28"/>
          <w:szCs w:val="28"/>
        </w:rPr>
        <w:t>申領統一發票購票證相關文件代之。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若投標人最近一期無應納營業稅時，該完稅證明文件為營業稅主管稽徵機關核章之「營業人銷售額與稅額申報收執聯」。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以上。以提供台灣電力股份有限公司或國外再生能源躉購契約書頁面影本等相關證明文件。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機關於開標前發現者，其所投之標應不予開標；於開標後發現者，應不決標予該廠商；決標後發現得標廠商於決標前有前揭情形者，應撤銷決標。但撤銷決標反不符公共利</w:t>
      </w:r>
      <w:r w:rsidR="00C1438B" w:rsidRPr="00997A4C">
        <w:rPr>
          <w:rFonts w:eastAsia="標楷體" w:hAnsi="標楷體"/>
          <w:color w:val="000000" w:themeColor="text1"/>
          <w:sz w:val="28"/>
          <w:szCs w:val="32"/>
        </w:rPr>
        <w:lastRenderedPageBreak/>
        <w:t>益，並經上級機關核准者，不在此限。另機關撤銷決標者，契約視為自始無效，並準用解除契約或終止契約之規定。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截止投標期限</w:t>
      </w:r>
      <w:r w:rsidRPr="00997A4C">
        <w:rPr>
          <w:rFonts w:eastAsia="標楷體" w:hAnsi="標楷體" w:hint="eastAsia"/>
          <w:color w:val="000000" w:themeColor="text1"/>
          <w:sz w:val="28"/>
          <w:szCs w:val="32"/>
        </w:rPr>
        <w:t>（民國</w:t>
      </w:r>
      <w:r w:rsidR="00CE2E38" w:rsidRPr="00CE2E38">
        <w:rPr>
          <w:rFonts w:eastAsia="標楷體" w:hAnsi="標楷體" w:hint="eastAsia"/>
          <w:color w:val="000000" w:themeColor="text1"/>
          <w:sz w:val="28"/>
          <w:szCs w:val="32"/>
          <w:highlight w:val="yellow"/>
        </w:rPr>
        <w:t>___</w:t>
      </w:r>
      <w:r w:rsidRPr="00997A4C">
        <w:rPr>
          <w:rFonts w:eastAsia="標楷體" w:hAnsi="標楷體"/>
          <w:color w:val="000000" w:themeColor="text1"/>
          <w:sz w:val="28"/>
          <w:szCs w:val="32"/>
        </w:rPr>
        <w:t>年</w:t>
      </w:r>
      <w:r w:rsidR="00CE2E38" w:rsidRPr="00CE2E38">
        <w:rPr>
          <w:rFonts w:eastAsia="標楷體" w:hAnsi="標楷體" w:hint="eastAsia"/>
          <w:color w:val="000000" w:themeColor="text1"/>
          <w:sz w:val="28"/>
          <w:szCs w:val="32"/>
          <w:highlight w:val="yellow"/>
        </w:rPr>
        <w:t>___</w:t>
      </w:r>
      <w:r w:rsidRPr="00997A4C">
        <w:rPr>
          <w:rFonts w:eastAsia="標楷體" w:hAnsi="標楷體"/>
          <w:color w:val="000000" w:themeColor="text1"/>
          <w:sz w:val="28"/>
          <w:szCs w:val="32"/>
        </w:rPr>
        <w:t>月</w:t>
      </w:r>
      <w:r w:rsidR="00CE2E38" w:rsidRPr="00CE2E38">
        <w:rPr>
          <w:rFonts w:eastAsia="標楷體" w:hAnsi="標楷體" w:hint="eastAsia"/>
          <w:color w:val="000000" w:themeColor="text1"/>
          <w:sz w:val="28"/>
          <w:szCs w:val="32"/>
          <w:highlight w:val="yellow"/>
        </w:rPr>
        <w:t>___</w:t>
      </w:r>
      <w:r w:rsidRPr="00997A4C">
        <w:rPr>
          <w:rFonts w:eastAsia="標楷體" w:hAnsi="標楷體"/>
          <w:color w:val="000000" w:themeColor="text1"/>
          <w:sz w:val="28"/>
          <w:szCs w:val="32"/>
        </w:rPr>
        <w:t>日下午</w:t>
      </w:r>
      <w:r w:rsidRPr="00997A4C">
        <w:rPr>
          <w:rFonts w:eastAsia="標楷體" w:hAnsi="標楷體"/>
          <w:color w:val="000000" w:themeColor="text1"/>
          <w:sz w:val="28"/>
          <w:szCs w:val="32"/>
        </w:rPr>
        <w:t>5</w:t>
      </w:r>
      <w:r w:rsidRPr="00997A4C">
        <w:rPr>
          <w:rFonts w:eastAsia="標楷體" w:hAnsi="標楷體"/>
          <w:color w:val="000000" w:themeColor="text1"/>
          <w:sz w:val="28"/>
          <w:szCs w:val="32"/>
        </w:rPr>
        <w:t>時</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前，以掛號郵遞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8A59E2">
        <w:rPr>
          <w:rFonts w:ascii="標楷體" w:eastAsia="標楷體" w:hAnsi="標楷體" w:hint="eastAsia"/>
          <w:color w:val="000000" w:themeColor="text1"/>
          <w:sz w:val="28"/>
          <w:szCs w:val="32"/>
          <w:highlight w:val="yellow"/>
        </w:rPr>
        <w:t>72544</w:t>
      </w:r>
      <w:r w:rsidR="00715E89" w:rsidRPr="00027C63">
        <w:rPr>
          <w:rFonts w:eastAsia="標楷體" w:hAnsi="標楷體"/>
          <w:color w:val="000000" w:themeColor="text1"/>
          <w:sz w:val="28"/>
          <w:szCs w:val="32"/>
          <w:highlight w:val="yellow"/>
        </w:rPr>
        <w:t>台南市</w:t>
      </w:r>
      <w:r w:rsidR="008A59E2">
        <w:rPr>
          <w:rFonts w:eastAsia="標楷體" w:hAnsi="標楷體" w:hint="eastAsia"/>
          <w:color w:val="000000" w:themeColor="text1"/>
          <w:sz w:val="28"/>
          <w:szCs w:val="32"/>
          <w:highlight w:val="yellow"/>
        </w:rPr>
        <w:t>將軍區忠嘉里昌平</w:t>
      </w:r>
      <w:r w:rsidR="008A59E2">
        <w:rPr>
          <w:rFonts w:eastAsia="標楷體" w:hAnsi="標楷體" w:hint="eastAsia"/>
          <w:color w:val="000000" w:themeColor="text1"/>
          <w:sz w:val="28"/>
          <w:szCs w:val="32"/>
          <w:highlight w:val="yellow"/>
        </w:rPr>
        <w:t>1-1</w:t>
      </w:r>
      <w:r w:rsidR="008A59E2">
        <w:rPr>
          <w:rFonts w:eastAsia="標楷體" w:hAnsi="標楷體" w:hint="eastAsia"/>
          <w:color w:val="000000" w:themeColor="text1"/>
          <w:sz w:val="28"/>
          <w:szCs w:val="32"/>
          <w:highlight w:val="yellow"/>
        </w:rPr>
        <w:t>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押標金繳納方式、沒收與發還：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997A4C">
        <w:rPr>
          <w:rFonts w:eastAsia="標楷體" w:hAnsi="標楷體"/>
          <w:color w:val="000000" w:themeColor="text1"/>
          <w:sz w:val="28"/>
          <w:szCs w:val="32"/>
          <w:u w:val="single"/>
        </w:rPr>
        <w:t>10</w:t>
      </w:r>
      <w:r w:rsidRPr="00997A4C">
        <w:rPr>
          <w:rFonts w:eastAsia="標楷體" w:hAnsi="標楷體"/>
          <w:color w:val="000000" w:themeColor="text1"/>
          <w:sz w:val="28"/>
          <w:szCs w:val="32"/>
          <w:u w:val="single"/>
        </w:rPr>
        <w:t>萬元</w:t>
      </w:r>
      <w:r w:rsidRPr="00997A4C">
        <w:rPr>
          <w:rFonts w:eastAsia="標楷體" w:hAnsi="標楷體"/>
          <w:color w:val="000000" w:themeColor="text1"/>
          <w:sz w:val="28"/>
          <w:szCs w:val="32"/>
        </w:rPr>
        <w:t>，投標廠商應以下列方式繳納：現金（應於截止投標期前繳納至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）、金融機構所簽發之本票、支票、保付支票、郵政匯票（抬頭應書名：「</w:t>
      </w:r>
      <w:r w:rsidRPr="00605E90">
        <w:rPr>
          <w:rFonts w:eastAsia="標楷體" w:hAnsi="標楷體" w:hint="eastAsia"/>
          <w:color w:val="000000" w:themeColor="text1"/>
          <w:sz w:val="28"/>
          <w:szCs w:val="32"/>
          <w:highlight w:val="yellow"/>
        </w:rPr>
        <w:t>臺南市</w:t>
      </w:r>
      <w:r w:rsidR="008A59E2">
        <w:rPr>
          <w:rFonts w:eastAsia="標楷體" w:hAnsi="標楷體" w:hint="eastAsia"/>
          <w:color w:val="000000" w:themeColor="text1"/>
          <w:sz w:val="28"/>
          <w:szCs w:val="32"/>
          <w:highlight w:val="yellow"/>
        </w:rPr>
        <w:t>立將軍國民中學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上述押標金之方式，擇一放入標封內</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。凡未按規定繳納押標金者，其所投之標即被視為無效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押標金為票據，未當場領回者，由投標廠商提出申請退還，本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押標金採用方式涉及有效期時，應定於開標日後三十日以上。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廠商有下列情形之一者，其所繳納之押標金及其孳息，不予發還，其已發還者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押標金轉換為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lastRenderedPageBreak/>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本標租案開標依標租公告所定時間地點公開舉行，投標廠商可不在場，如遇特殊情形，得當場宣布延期開標。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代擬招標文件之廠商，於依該招標文件辦理之標租。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本標租案參考「採購評選委員會審議規則」及「最有利標評選辦法」等相關規定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評定優勝廠商方式採序位法，價格納入評比。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本標租案倘僅有一家投標，其所投標內容符合投標文件規</w:t>
      </w:r>
      <w:r w:rsidRPr="00DF0AD3">
        <w:rPr>
          <w:rFonts w:eastAsia="標楷體" w:hAnsi="標楷體" w:hint="eastAsia"/>
          <w:sz w:val="28"/>
          <w:szCs w:val="32"/>
        </w:rPr>
        <w:lastRenderedPageBreak/>
        <w:t>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kWp</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/kWp</w:t>
      </w:r>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指定之專戶）、金融機構所簽發之本票、支票、保付支票、郵政匯票（抬頭應書名：「</w:t>
      </w:r>
      <w:r w:rsidRPr="00997A4C">
        <w:rPr>
          <w:rFonts w:eastAsia="標楷體" w:hAnsi="標楷體" w:hint="eastAsia"/>
          <w:color w:val="000000" w:themeColor="text1"/>
          <w:sz w:val="28"/>
          <w:szCs w:val="32"/>
        </w:rPr>
        <w:t>臺南市</w:t>
      </w:r>
      <w:r w:rsidR="007672DA">
        <w:rPr>
          <w:rFonts w:eastAsia="標楷體" w:hAnsi="標楷體" w:hint="eastAsia"/>
          <w:color w:val="000000" w:themeColor="text1"/>
          <w:sz w:val="28"/>
          <w:szCs w:val="32"/>
        </w:rPr>
        <w:t>立將軍國民中學</w:t>
      </w:r>
      <w:r w:rsidRPr="00997A4C">
        <w:rPr>
          <w:rFonts w:eastAsia="標楷體" w:hAnsi="標楷體"/>
          <w:color w:val="000000" w:themeColor="text1"/>
          <w:sz w:val="28"/>
          <w:szCs w:val="32"/>
        </w:rPr>
        <w:t>」後並予劃線），</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分票據，其中第</w:t>
      </w:r>
      <w:r w:rsidRPr="00997A4C">
        <w:rPr>
          <w:rFonts w:eastAsia="標楷體" w:hAnsi="標楷體" w:hint="eastAsia"/>
          <w:color w:val="000000" w:themeColor="text1"/>
          <w:sz w:val="28"/>
          <w:szCs w:val="32"/>
        </w:rPr>
        <w:t>1</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份票據各佔履約保證金四分之一金額，第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份票據佔履約保證金二分之一金額，以利後續退還作業。若押標金已繳抵履約保證金，則第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份票據為履約保證金二分之一金額扣除押標金後得之。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得標廠商有下列情形之一者，其所繳納之履約保證金及其孳息，不予發還：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w:t>
      </w:r>
      <w:r w:rsidRPr="00997A4C">
        <w:rPr>
          <w:rFonts w:eastAsia="標楷體" w:hAnsi="標楷體"/>
          <w:color w:val="000000" w:themeColor="text1"/>
          <w:sz w:val="28"/>
          <w:szCs w:val="28"/>
        </w:rPr>
        <w:lastRenderedPageBreak/>
        <w:t>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w:t>
      </w:r>
      <w:r w:rsidR="00B66B81" w:rsidRPr="00997A4C">
        <w:rPr>
          <w:rFonts w:eastAsia="標楷體" w:hAnsi="標楷體" w:hint="eastAsia"/>
          <w:color w:val="000000" w:themeColor="text1"/>
          <w:sz w:val="28"/>
          <w:szCs w:val="32"/>
        </w:rPr>
        <w:lastRenderedPageBreak/>
        <w:t>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本標租案租賃契約以中華民國法律為準據法，並以臺南市政府所在地之地方法院為第一審管轄法院。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法務部廉政署受理檢舉相關資訊及臺南市政府採購稽核小組如下：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hyperlink r:id="rId9" w:history="1">
        <w:r w:rsidRPr="00997A4C">
          <w:rPr>
            <w:rFonts w:hint="eastAsia"/>
            <w:color w:val="000000" w:themeColor="text1"/>
          </w:rPr>
          <w:t>gechief-p@mail.moj.gov.tw</w:t>
        </w:r>
      </w:hyperlink>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臺南市政府採購稽核小組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r w:rsidRPr="00997A4C">
        <w:rPr>
          <w:rFonts w:ascii="標楷體" w:eastAsia="標楷體" w:hAnsi="標楷體" w:cs="標楷體" w:hint="eastAsia"/>
          <w:color w:val="000000" w:themeColor="text1"/>
          <w:sz w:val="28"/>
          <w:szCs w:val="28"/>
          <w:lang w:val="zh-TW"/>
        </w:rPr>
        <w:t>臺南市安平區永華路二段6號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本標租案開標前倘因特殊原因或不可抗力之因素而情事變更，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或停止本標租案。</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參加本標租案之投標人，必須仔細閱讀且遵守本投標須知，並對本須知內應履行之權利義務及行為負責，並不得以任何理由要求投標無效。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如舉辦公開說明會說明之事項與本須知或契約書內容不一致時，以本須知及契約書條款為準。</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w:t>
      </w:r>
      <w:r w:rsidRPr="00997A4C">
        <w:rPr>
          <w:rFonts w:ascii="Times New Roman" w:hAnsi="標楷體"/>
          <w:color w:val="000000" w:themeColor="text1"/>
          <w:szCs w:val="28"/>
        </w:rPr>
        <w:lastRenderedPageBreak/>
        <w:t>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投標人之投標文件經開啟標封後均不予發還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得標廠商進場施工前需提送本案施工計畫書、品質計畫書、職安計畫書予學校核備，惟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各案場若有樹木修剪需求，請依照</w:t>
      </w:r>
      <w:r w:rsidR="00CE2E38" w:rsidRPr="00CE2E38">
        <w:rPr>
          <w:rFonts w:ascii="Times New Roman"/>
          <w:color w:val="0000FF"/>
          <w:szCs w:val="28"/>
        </w:rPr>
        <w:t>臺南市政府</w:t>
      </w:r>
      <w:r w:rsidRPr="00997A4C">
        <w:rPr>
          <w:rFonts w:ascii="Times New Roman"/>
          <w:color w:val="000000" w:themeColor="text1"/>
          <w:szCs w:val="28"/>
        </w:rPr>
        <w:t>工務局「臺南市樹木修剪施工要領」執行且須聘請具</w:t>
      </w:r>
      <w:r w:rsidR="00C96CA0" w:rsidRPr="00CE2E38">
        <w:rPr>
          <w:rFonts w:ascii="Times New Roman"/>
          <w:color w:val="0000FF"/>
          <w:szCs w:val="28"/>
        </w:rPr>
        <w:t>臺南市政</w:t>
      </w:r>
      <w:r w:rsidRPr="00997A4C">
        <w:rPr>
          <w:rFonts w:ascii="Times New Roman"/>
          <w:color w:val="000000" w:themeColor="text1"/>
          <w:szCs w:val="28"/>
        </w:rPr>
        <w:t>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3D9AA5CC" wp14:editId="70D747AB">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E741B0" w:rsidRDefault="00E741B0"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AA5CC"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E741B0" w:rsidRDefault="00E741B0"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，原房舍為斜屋頂者非適用範圍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r w:rsidRPr="002C16E6">
        <w:rPr>
          <w:rFonts w:ascii="Calibri" w:eastAsia="標楷體" w:hAnsi="標楷體" w:cs="Times New Roman" w:hint="eastAsia"/>
          <w:sz w:val="28"/>
          <w:szCs w:val="32"/>
        </w:rPr>
        <w:t>乙方裝設太陽光電模組請依現場最佳方式安裝於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之建構</w:t>
      </w:r>
      <w:r w:rsidRPr="002C16E6">
        <w:rPr>
          <w:rFonts w:ascii="標楷體" w:eastAsia="標楷體" w:hAnsi="標楷體" w:cs="Times New Roman" w:hint="eastAsia"/>
          <w:sz w:val="28"/>
          <w:szCs w:val="32"/>
        </w:rPr>
        <w:t>請參照</w:t>
      </w:r>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r w:rsidRPr="002C16E6">
        <w:rPr>
          <w:rFonts w:ascii="Calibri" w:eastAsia="標楷體" w:hAnsi="標楷體" w:cs="Times New Roman" w:hint="eastAsia"/>
          <w:sz w:val="28"/>
          <w:szCs w:val="32"/>
        </w:rPr>
        <w:t>臺南市一定規模以下建築物免辦理變更使用執照辦法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、「臺南市免請領建築執照建築物或雜項工作物處理原則」或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基座以植筋方式施作於原有建築物之柱位為原則，不得施作於屋頂樓地板上（如穿透、植筋、打毛等破壞行為）。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r w:rsidR="00251E47" w:rsidRPr="002C16E6">
        <w:rPr>
          <w:rFonts w:ascii="Times New Roman" w:hAnsi="標楷體"/>
          <w:szCs w:val="28"/>
        </w:rPr>
        <w:t>”</w:t>
      </w:r>
      <w:r w:rsidR="00251E47" w:rsidRPr="002C16E6">
        <w:rPr>
          <w:rFonts w:ascii="Times New Roman" w:hAnsi="標楷體"/>
          <w:szCs w:val="28"/>
        </w:rPr>
        <w:t>PVC</w:t>
      </w:r>
      <w:r w:rsidR="00251E47" w:rsidRPr="002C16E6">
        <w:rPr>
          <w:rFonts w:ascii="Times New Roman" w:hAnsi="標楷體"/>
          <w:szCs w:val="28"/>
        </w:rPr>
        <w:t>以上落水管接至適當排水溝或落水孔，其所需槽溝斷面及落水管支數，應依集水面積計算決定，臨牆面部分應做好汎水收邊，使雨水沿板面順流至天溝水落。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03483B" w:rsidRDefault="001F6FFF"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須計算建築物之結構及承載力並加強其防颱設計及防漏功能，不得影響建築物之結構安全及造成屋頂毀損滲漏，應由專業土木技師或結構技師公會評估出具樓板承載能力是否足以負荷光電設施靜載重之相關証明文件，以確保甲方使用教室之結構安全性。</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支撐架結構設計應符合「建築物耐風設計規範及解說」之規定，惟基本設計風速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w:t>
      </w:r>
      <w:r w:rsidRPr="00500853">
        <w:rPr>
          <w:rFonts w:ascii="Times New Roman" w:hAnsi="標楷體"/>
          <w:szCs w:val="28"/>
        </w:rPr>
        <w:lastRenderedPageBreak/>
        <w:t>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支撐架結構設計應依建築物耐風設計規範進行設計，其中用途係數</w:t>
      </w:r>
      <w:r w:rsidRPr="00500853">
        <w:rPr>
          <w:rFonts w:ascii="Times New Roman" w:hAnsi="標楷體"/>
          <w:szCs w:val="28"/>
        </w:rPr>
        <w:t>(I)</w:t>
      </w:r>
      <w:r w:rsidRPr="00500853">
        <w:rPr>
          <w:rFonts w:ascii="Times New Roman" w:hAnsi="標楷體"/>
          <w:szCs w:val="28"/>
        </w:rPr>
        <w:t>，採</w:t>
      </w:r>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，採</w:t>
      </w:r>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連結固定，連結扣件共計須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包含螺絲、螺帽、彈簧華司、平板華司等</w:t>
      </w:r>
      <w:r w:rsidRPr="00500853">
        <w:rPr>
          <w:rFonts w:ascii="Times New Roman" w:hAnsi="標楷體"/>
          <w:szCs w:val="28"/>
        </w:rPr>
        <w:t>)</w:t>
      </w:r>
      <w:r w:rsidRPr="00500853">
        <w:rPr>
          <w:rFonts w:ascii="Times New Roman" w:hAnsi="標楷體"/>
          <w:szCs w:val="28"/>
        </w:rPr>
        <w:t>及扣件材質必須具抗腐蝕能力，螺絲組</w:t>
      </w:r>
      <w:r w:rsidRPr="00500853">
        <w:rPr>
          <w:rFonts w:ascii="Times New Roman" w:hAnsi="標楷體"/>
          <w:szCs w:val="28"/>
        </w:rPr>
        <w:t>(</w:t>
      </w:r>
      <w:r w:rsidRPr="00500853">
        <w:rPr>
          <w:rFonts w:ascii="Times New Roman" w:hAnsi="標楷體"/>
          <w:szCs w:val="28"/>
        </w:rPr>
        <w:t>包含螺絲、螺帽、平板華司與彈簧華司等</w:t>
      </w:r>
      <w:r w:rsidRPr="00500853">
        <w:rPr>
          <w:rFonts w:ascii="Times New Roman" w:hAnsi="標楷體"/>
          <w:szCs w:val="28"/>
        </w:rPr>
        <w:t>)</w:t>
      </w:r>
      <w:r w:rsidRPr="00500853">
        <w:rPr>
          <w:rFonts w:ascii="Times New Roman" w:hAnsi="標楷體"/>
          <w:szCs w:val="28"/>
        </w:rPr>
        <w:t>應為同一材質，可為熱浸鍍鋅或電鍍鋅材質或不銹鋼材質等抗腐蝕材質，並取得抗腐蝕品質測試報告。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片彈簧華司、至少</w:t>
      </w:r>
      <w:r w:rsidRPr="00500853">
        <w:rPr>
          <w:rFonts w:ascii="Times New Roman" w:hAnsi="標楷體"/>
          <w:szCs w:val="28"/>
        </w:rPr>
        <w:t>2</w:t>
      </w:r>
      <w:r w:rsidRPr="00500853">
        <w:rPr>
          <w:rFonts w:ascii="Times New Roman" w:hAnsi="標楷體"/>
          <w:szCs w:val="28"/>
        </w:rPr>
        <w:t>片平板華司、至少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個抗腐蝕六角蓋型螺帽。</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支撐架金屬基材耐腐蝕性能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若採用鋼構基材，應為一般結構用鋼材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或冷軋鋼構材外加表面防蝕處理，或耐候鋼材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r w:rsidRPr="005409FC">
        <w:rPr>
          <w:rFonts w:ascii="Times New Roman" w:hAnsi="標楷體"/>
          <w:szCs w:val="28"/>
        </w:rPr>
        <w:t>鋼構基材表面處理，須以設置地點符合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r w:rsidRPr="005409FC">
        <w:rPr>
          <w:rFonts w:ascii="Times New Roman" w:hAnsi="標楷體"/>
          <w:szCs w:val="28"/>
        </w:rPr>
        <w:t>以上抗腐蝕性能進行表面處理，並由專業機構提出施作說明與品質保證證明。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以上等級，並須符合結構安全要求。其表面處理方式採陽極處理厚度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以上之壓克力透明漆之表面防蝕處理，除鋁合金鋁擠型基材外的鋁合金板、小配件等之表面處理方式可為陽極處理厚度</w:t>
      </w:r>
      <w:r w:rsidRPr="005409FC">
        <w:rPr>
          <w:rFonts w:ascii="Times New Roman" w:hAnsi="標楷體"/>
          <w:szCs w:val="28"/>
        </w:rPr>
        <w:lastRenderedPageBreak/>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太陽光電模組鋁框與鋼構基材接觸位置應加裝鐵氟龍絕緣墊片以隔開二者，避免產生電位差腐蝕；螺絲組與太陽光電模組鋁框接觸處之平板華司下方應再加裝鐵氟龍絕緣墊片以隔開螺絲組及模組鋁框。</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維護管理及公共安全意外之防護均由乙方負責。其造成人員傷亡、財物毀損、鄰房反光部分或管理機關之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被訴或被求償者，乙方應賠償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租賃期間所發生之侵權、環保、人員傷亡、意外事件等，均由乙方負責處理，與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lastRenderedPageBreak/>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修剪及移植樹木，請依「臺南市樹木修剪施工要領」及「臺南市樹木移植施工要領」辦理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太陽光電發電系統建置完成後於租賃存續期間，設置標的房舍之屋頂樓地板若有漏水情事發生，概由乙方完全負責防漏</w:t>
      </w:r>
      <w:r w:rsidR="0086381A" w:rsidRPr="0086381A">
        <w:rPr>
          <w:rFonts w:ascii="Times New Roman" w:eastAsia="標楷體" w:hAnsi="Times New Roman" w:cs="Times New Roman" w:hint="eastAsia"/>
          <w:color w:val="0000FF"/>
          <w:sz w:val="28"/>
          <w:szCs w:val="28"/>
        </w:rPr>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或房舍管理機關（單位）有耐震或結構補強或防水或隔熱或其他工程之需，須暫時遷移該太陽光電發電系統，乙方應無償配合，俾利工程遂行，並俟工程完工後再予復原。若乙方違反本項規定，經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65AD70B4" wp14:editId="49C98866">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E741B0" w:rsidRDefault="00E741B0"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D70B4"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E741B0" w:rsidRDefault="00E741B0"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，結構柱高起算點為屋頂下緣起算 7公尺為限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包含球場地坪興建並全面鋪設壓克力漆、畫線及球柱、保護墊等，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，結構柱高起算點為屋頂下緣起算7公尺為限，並符合現行建築法相關規定。</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0BA2A0ED" wp14:editId="790458D8">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E741B0" w:rsidRPr="0008517D" w:rsidRDefault="00E741B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2A0ED"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接點 17" o:spid="_x0000_s1030"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97iMAAAADbAAAADwAAAGRycy9kb3ducmV2LnhtbERPS08CMRC+m/gfmjHxJl05CFnobsCo&#10;cDPyuE+2w+7Cdtq0Fcq/pyQm3ubL95x5ncwgzuRDb1nB66gAQdxY3XOrYLf9fJmCCBFZ42CZFFwp&#10;QF09Psyx1PbCP3TexFbkEA4lKuhidKWUoenIYBhZR5y5g/UGY4a+ldrjJYebQY6L4k0a7Dk3dOjo&#10;vaPmtPk1CpLb9cWwXOHH/thMv8xYOp++lXp+SosZiEgp/ov/3Gud50/g/ks+QFY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e4jAAAAA2wAAAA8AAAAAAAAAAAAAAAAA&#10;oQIAAGRycy9kb3ducmV2LnhtbFBLBQYAAAAABAAEAPkAAACOAwAAAAA=&#10;" strokecolor="#4a7ebb" strokeweight="3pt"/>
                  <v:line id="直線接點 18" o:spid="_x0000_s1031"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l1b8AAADbAAAADwAAAGRycy9kb3ducmV2LnhtbESPzarCMBCF94LvEEa4O011IVKNIoKg&#10;S3/A7dCMTbGZtE3U+vZ3FoK7Gc6Zc75ZbXpfqxd1sQpsYDrJQBEXwVZcGrhe9uMFqJiQLdaBycCH&#10;ImzWw8EKcxvefKLXOZVKQjjmaMCl1ORax8KRxzgJDbFo99B5TLJ2pbYdviXc13qWZXPtsWJpcNjQ&#10;zlHxOD+9AbJle5k+jne+xap188+z3d/ImL9Rv12CStSnn/l7fbCCL7Dyiwy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l1b8AAADbAAAADwAAAAAAAAAAAAAAAACh&#10;AgAAZHJzL2Rvd25yZXYueG1sUEsFBgAAAAAEAAQA+QAAAI0DA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BhcIA&#10;AADbAAAADwAAAGRycy9kb3ducmV2LnhtbERPTWvCQBC9F/wPywje6katUqOrqGjpRaG2qMchOybR&#10;7GzIrjH9992C4G0e73Om88YUoqbK5ZYV9LoRCOLE6pxTBT/fm9d3EM4jaywsk4JfcjCftV6mGGt7&#10;5y+q9z4VIYRdjAoy78tYSpdkZNB1bUkcuLOtDPoAq1TqCu8h3BSyH0UjaTDn0JBhSauMkuv+ZhR8&#10;0MW58+ltPYwOluvFbrs8DrRSnXazmIDw1Pin+OH+1GH+GP5/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GFwgAAANsAAAAPAAAAAAAAAAAAAAAAAJgCAABkcnMvZG93&#10;bnJldi54bWxQSwUGAAAAAAQABAD1AAAAhwMAAAAA&#10;" adj="-7524,13911,617,11715" filled="f" strokecolor="red" strokeweight="2pt">
                  <v:stroke startarrow="block"/>
                  <v:textbox>
                    <w:txbxContent>
                      <w:p w:rsidR="00E741B0" w:rsidRPr="0008517D" w:rsidRDefault="00E741B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36D151E0" wp14:editId="173EDE83">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E741B0" w:rsidRPr="0008517D" w:rsidRDefault="00E741B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51E0"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E741B0" w:rsidRPr="0008517D" w:rsidRDefault="00E741B0"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61EAFCCA" wp14:editId="0EF0A9E0">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2A67D4"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V2MAAAADaAAAADwAAAGRycy9kb3ducmV2LnhtbERPTYvCMBC9C/sfwix401QPi1SjiKy6&#10;FxGrsnscmrEt20xCE23990YQPA2P9zmzRWdqcaPGV5YVjIYJCOLc6ooLBafjejAB4QOyxtoyKbiT&#10;h8X8ozfDVNuWD3TLQiFiCPsUFZQhuFRKn5dk0A+tI47cxTYGQ4RNIXWDbQw3tRwnyZc0WHFsKNHR&#10;qqT8P7saBdmqOu+LP6zb82R0Wu++3e9245Tqf3bLKYhAXXiLX+4f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jldjAAAAA2gAAAA8AAAAAAAAAAAAAAAAA&#10;oQIAAGRycy9kb3ducmV2LnhtbFBLBQYAAAAABAAEAPkAAACOAwAAAAA=&#10;" strokecolor="#4579b8 [3044]" strokeweight="3pt"/>
                <v:line id="直線接點 2" o:spid="_x0000_s1028" style="position:absolute;visibility:visible;mso-wrap-style:square" from="3429,228" to="7391,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EZMMAAADaAAAADwAAAGRycy9kb3ducmV2LnhtbESPwW7CMBBE75X4B2uReis2OaA2YBBC&#10;iigtlwY+YBUvSZR4bWIX0n59XalSj6OZeaNZbUbbixsNoXWsYT5TIIgrZ1quNZxPxdMziBCRDfaO&#10;ScMXBdisJw8rzI278wfdyliLBOGQo4YmRp9LGaqGLIaZ88TJu7jBYkxyqKUZ8J7gtpeZUgtpseW0&#10;0KCnXUNVV35aDV3pi+ux8y/vmXs74vdeFerQaf04HbdLEJHG+B/+a78aDRn8Xk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BGTDAAAA2gAAAA8AAAAAAAAAAAAA&#10;AAAAoQIAAGRycy9kb3ducmV2LnhtbFBLBQYAAAAABAAEAPkAAACRAw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41B1BDB5" wp14:editId="5AC79F98">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134"/>
        <w:gridCol w:w="618"/>
        <w:gridCol w:w="788"/>
        <w:gridCol w:w="5438"/>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屋頂柱高</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設置之棚架式太陽光電發電系統住高起算點為屋頂下緣算起</w:t>
            </w:r>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r w:rsidRPr="00EF6059">
              <w:rPr>
                <w:rFonts w:eastAsia="標楷體"/>
                <w:color w:val="000000" w:themeColor="text1"/>
              </w:rPr>
              <w:t>需包覆由地面起算高度達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太陽光電模組鋁框與鋼構材接觸位置是否加裝鐵氟龍絕緣墊片以隔開二者，避免產生電位差腐蝕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螺絲組與太陽光電模組鋁框接觸處之平板華司下方應再加裝鐵氟龍絕緣墊片以隔開螺絲組及模組鋁框</w:t>
            </w:r>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12"/>
        <w:gridCol w:w="618"/>
        <w:gridCol w:w="788"/>
        <w:gridCol w:w="5438"/>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r w:rsidRPr="00EF6059">
              <w:rPr>
                <w:rFonts w:eastAsia="標楷體"/>
                <w:color w:val="000000" w:themeColor="text1"/>
                <w:kern w:val="0"/>
                <w:sz w:val="22"/>
                <w:lang w:eastAsia="en-US"/>
              </w:rPr>
              <w:t>項目</w:t>
            </w:r>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r w:rsidRPr="00EF6059">
              <w:rPr>
                <w:rFonts w:eastAsia="標楷體"/>
                <w:color w:val="000000" w:themeColor="text1"/>
                <w:kern w:val="0"/>
                <w:lang w:eastAsia="en-US"/>
              </w:rPr>
              <w:t>項目</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構設計應符合「建築物耐風設計規範及解說」之規定，惟依據「國有公用不動產設置太陽光電發電設備租賃契約書」訂定基本設計風速在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結構設計是否依建築物耐風設計規範進行設計與檢核，其中用途係數（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），採</w:t>
            </w:r>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片彈簧華司、至少</w:t>
            </w:r>
            <w:r w:rsidRPr="00EF6059">
              <w:rPr>
                <w:rFonts w:eastAsia="標楷體"/>
                <w:color w:val="000000" w:themeColor="text1"/>
                <w:kern w:val="0"/>
              </w:rPr>
              <w:t xml:space="preserve"> 2 </w:t>
            </w:r>
            <w:r w:rsidRPr="00EF6059">
              <w:rPr>
                <w:rFonts w:eastAsia="標楷體"/>
                <w:color w:val="000000" w:themeColor="text1"/>
                <w:kern w:val="0"/>
              </w:rPr>
              <w:t>片平板華司、至少</w:t>
            </w:r>
            <w:r w:rsidRPr="00EF6059">
              <w:rPr>
                <w:rFonts w:eastAsia="標楷體"/>
                <w:color w:val="000000" w:themeColor="text1"/>
                <w:kern w:val="0"/>
              </w:rPr>
              <w:t xml:space="preserve"> 1 </w:t>
            </w:r>
            <w:r w:rsidRPr="00EF6059">
              <w:rPr>
                <w:rFonts w:eastAsia="標楷體"/>
                <w:color w:val="000000" w:themeColor="text1"/>
                <w:kern w:val="0"/>
              </w:rPr>
              <w:t>個抗腐蝕六角螺帽以及於六角螺帽上再套上</w:t>
            </w:r>
            <w:r w:rsidRPr="00EF6059">
              <w:rPr>
                <w:rFonts w:eastAsia="標楷體"/>
                <w:color w:val="000000" w:themeColor="text1"/>
                <w:kern w:val="0"/>
              </w:rPr>
              <w:t xml:space="preserve"> 1 </w:t>
            </w:r>
            <w:r w:rsidRPr="00EF6059">
              <w:rPr>
                <w:rFonts w:eastAsia="標楷體"/>
                <w:color w:val="000000" w:themeColor="text1"/>
                <w:kern w:val="0"/>
              </w:rPr>
              <w:t>個抗腐蝕六角蓋型螺帽</w:t>
            </w:r>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支撐架金屬基材耐腐蝕性能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支撐架金屬基材耐腐蝕性能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若採用鋼構基材，應為一般結構用鋼材（如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等）或冷軋鋼構材外加表面防蝕處理，或耐候鋼材（如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u w:val="single"/>
              </w:rPr>
              <w:t>鋼構</w:t>
            </w:r>
            <w:r w:rsidRPr="00EF6059">
              <w:rPr>
                <w:rFonts w:eastAsia="標楷體"/>
                <w:color w:val="000000" w:themeColor="text1"/>
                <w:kern w:val="0"/>
              </w:rPr>
              <w:t>基材表面處理，須以設置地點符合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年（含）以上抗腐蝕性能進行表面處理，並由專業機構提出施作說明與品質保證證明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基材表面處理，其表面處理方式採陽極處理厚度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以上之壓克力透明漆之表面防蝕處理，除鋁擠型構材外的鋁合金板、小配件等之表面處理方式可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01324672" wp14:editId="00C525E3">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D133D"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tM8MA&#10;AADbAAAADwAAAGRycy9kb3ducmV2LnhtbESPQWvCQBSE7wX/w/IEb3VjDlJTN0GKQr0IapEeX7Mv&#10;ydLs27C71fjv3UKhx2FmvmHW1Wh7cSUfjGMFi3kGgrh22nCr4OO8e34BESKyxt4xKbhTgKqcPK2x&#10;0O7GR7qeYisShEOBCroYh0LKUHdkMczdQJy8xnmLMUnfSu3xluC2l3mWLaVFw2mhw4HeOqq/Tz9W&#10;ATf75cqYQxP85mIv27z5/GqlUrPpuHkFEWmM/+G/9rtWkC/g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tM8MAAADbAAAADwAAAAAAAAAAAAAAAACYAgAAZHJzL2Rv&#10;d25yZXYueG1sUEsFBgAAAAAEAAQA9QAAAIgDAAAAAA==&#10;" fillcolor="#eeece1 [3214]" stroked="f" strokeweight="2pt"/>
                <v:rect id="矩形 22" o:spid="_x0000_s1028" style="position:absolute;left:16687;top:76;width:5944;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zRMMA&#10;AADbAAAADwAAAGRycy9kb3ducmV2LnhtbESPzWrDMBCE74W8g9hAbo1cH0LjRDahJNBcCvkh5Li1&#10;1raotTKSmrhvHxUKPQ4z8w2zrkbbixv5YBwreJlnIIhrpw23Cs6n3fMriBCRNfaOScEPBajKydMa&#10;C+3ufKDbMbYiQTgUqKCLcSikDHVHFsPcDcTJa5y3GJP0rdQe7wlue5ln2UJaNJwWOhzoraP66/ht&#10;FXCzXyyN+WiC31zsZZs3189WKjWbjpsViEhj/A//td+1gjyH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zRMMAAADbAAAADwAAAAAAAAAAAAAAAACYAgAAZHJzL2Rv&#10;d25yZXYueG1sUEsFBgAAAAAEAAQA9QAAAIgDAAAAAA==&#10;" fillcolor="#eeece1 [3214]" stroked="f" strokeweight="2pt"/>
              </v:group>
            </w:pict>
          </mc:Fallback>
        </mc:AlternateContent>
      </w:r>
      <w:r w:rsidRPr="00EF6059">
        <w:rPr>
          <w:rFonts w:eastAsia="標楷體"/>
          <w:noProof/>
          <w:color w:val="000000" w:themeColor="text1"/>
          <w:kern w:val="0"/>
        </w:rPr>
        <w:drawing>
          <wp:inline distT="0" distB="0" distL="0" distR="0" wp14:anchorId="264B17DC" wp14:editId="29DF2036">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6FE3752B" wp14:editId="0412E800">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E741B0" w:rsidRPr="00C1358C" w:rsidRDefault="00E741B0"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E3752B"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aTBAAAA2gAAAA8AAABkcnMvZG93bnJldi54bWxET8tqAjEU3Rf8h3AFN6Vm6mIoU6PUR7FQ&#10;utBR0N1lcjszOLkJSdTp3zeFgsvDeU/nvenElXxoLSt4HmcgiCurW64V7Mv3pxcQISJr7CyTgh8K&#10;MJ8NHqZYaHvjLV13sRYphEOBCpoYXSFlqBoyGMbWESfu23qDMUFfS+3xlsJNJydZlkuDLaeGBh0t&#10;G6rOu4tJM07xtDmuS3brw9fjov0svctXSo2G/dsriEh9vIv/3R9aQQ5/V5If5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5//aTBAAAA2gAAAA8AAAAAAAAAAAAAAAAAnwIA&#10;AGRycy9kb3ducmV2LnhtbFBLBQYAAAAABAAEAPcAAACNAwAAAAA=&#10;">
                  <v:imagedata r:id="rId13" o:title=""/>
                  <v:path arrowok="t"/>
                </v:shape>
                <v:line id="直線接點 31" o:spid="_x0000_s1036" style="position:absolute;flip:x;visibility:visible;mso-wrap-style:square" from="11201,1981" to="1569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JX8MAAADbAAAADwAAAGRycy9kb3ducmV2LnhtbESPQWsCMRSE7wX/Q3hCL0WztiB1NUpR&#10;BKEn1+L5sXluVjcvyyZ1Y399Iwgeh5n5hlmsom3ElTpfO1YwGWcgiEuna64U/By2o08QPiBrbByT&#10;ght5WC0HLwvMtet5T9ciVCJB2OeowITQ5lL60pBFP3YtcfJOrrMYkuwqqTvsE9w28j3LptJizWnB&#10;YEtrQ+Wl+LUKYj/dnNezvzfzjRx2lS3i5XhT6nUYv+YgAsXwDD/aO63gYwL3L+k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9CV/DAAAA2wAAAA8AAAAAAAAAAAAA&#10;AAAAoQIAAGRycy9kb3ducmV2LnhtbFBLBQYAAAAABAAEAPkAAACRAwAAAAA=&#10;" strokecolor="#4579b8 [3044]" strokeweight="2.75pt"/>
                <v:line id="直線接點 32" o:spid="_x0000_s1037" style="position:absolute;visibility:visible;mso-wrap-style:square" from="15240,1981" to="2103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DJ7MQAAADbAAAADwAAAGRycy9kb3ducmV2LnhtbESPQWvCQBSE70L/w/IEb7ox2iLRVUqr&#10;INge1Bavj+wzCWbfht1Vk3/vFgoeh5n5hlmsWlOLGzlfWVYwHiUgiHOrKy4U/Bw3wxkIH5A11pZJ&#10;QUceVsuX3gIzbe+8p9shFCJC2GeooAyhyaT0eUkG/cg2xNE7W2cwROkKqR3eI9zUMk2SN2mw4rhQ&#10;YkMfJeWXw9UoWNvud79z69N31b3upsfZVzr5zJUa9Nv3OYhAbXiG/9tbrWCSwt+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0MnsxAAAANsAAAAPAAAAAAAAAAAA&#10;AAAAAKECAABkcnMvZG93bnJldi54bWxQSwUGAAAAAAQABAD5AAAAkgMAAAAA&#10;" strokecolor="#4579b8 [3044]" strokeweight="2.25pt"/>
                <v:shape id="_x0000_s1038" type="#_x0000_t202" style="position:absolute;left:23622;width:9601;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9tcQA&#10;AADbAAAADwAAAGRycy9kb3ducmV2LnhtbESPzWrCQBSF90LfYbiF7szEtoaSOooUBBEXNXbR5SVz&#10;m0mTuRMzY4xv3ykILg/n5+MsVqNtxUC9rx0rmCUpCOLS6ZorBV/HzfQNhA/IGlvHpOBKHlbLh8kC&#10;c+0ufKChCJWII+xzVGBC6HIpfWnIok9cRxy9H9dbDFH2ldQ9XuK4beVzmmbSYs2RYLCjD0NlU5xt&#10;hOx9eT640+9s38hv02Q4/zQ7pZ4ex/U7iEBjuIdv7a1W8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vbXEAAAA2wAAAA8AAAAAAAAAAAAAAAAAmAIAAGRycy9k&#10;b3ducmV2LnhtbFBLBQYAAAAABAAEAPUAAACJAwAAAAA=&#10;" stroked="f">
                  <v:textbox style="mso-fit-shape-to-text:t">
                    <w:txbxContent>
                      <w:p w:rsidR="00E741B0" w:rsidRPr="00C1358C" w:rsidRDefault="00E741B0"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0EM8MAAADbAAAADwAAAGRycy9kb3ducmV2LnhtbESPQWvCQBSE74L/YXlCb7rREpHUVYog&#10;lIKHaEuvj+wzic2+DdmnRn99tyB4HGbmG2a57l2jLtSF2rOB6SQBRVx4W3Np4OuwHS9ABUG22Hgm&#10;AzcKsF4NB0vMrL9yTpe9lCpCOGRooBJpM61DUZHDMPEtcfSOvnMoUXalth1eI9w1epYkc+2w5rhQ&#10;YUubiorf/dkZ2O6+T/a8+PnM5ZZimMshzad3Y15G/fsbKKFenuFH+8MaeE3h/0v8AXr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tBDPDAAAA2wAAAA8AAAAAAAAAAAAA&#10;AAAAoQIAAGRycy9kb3ducmV2LnhtbFBLBQYAAAAABAAEAPkAAACRAw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圖五、主結構柱高起算點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lastRenderedPageBreak/>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結構設計應符合「建築物耐風設計規範及解說」之規定，惟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w:t>
      </w:r>
      <w:r w:rsidRPr="00EF6059">
        <w:rPr>
          <w:rFonts w:ascii="標楷體" w:eastAsia="標楷體" w:hAnsi="標楷體"/>
          <w:color w:val="000000" w:themeColor="text1"/>
          <w:kern w:val="0"/>
          <w:sz w:val="28"/>
          <w:szCs w:val="28"/>
        </w:rPr>
        <w:lastRenderedPageBreak/>
        <w:t>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w:t>
      </w:r>
      <w:r w:rsidRPr="00EF6059">
        <w:rPr>
          <w:rFonts w:ascii="標楷體" w:eastAsia="標楷體" w:hAnsi="標楷體"/>
          <w:color w:val="000000" w:themeColor="text1"/>
          <w:kern w:val="0"/>
          <w:sz w:val="28"/>
          <w:szCs w:val="28"/>
        </w:rPr>
        <w:lastRenderedPageBreak/>
        <w:t>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r w:rsidRPr="00EF6059">
        <w:rPr>
          <w:rFonts w:ascii="標楷體" w:eastAsia="標楷體" w:hAnsi="標楷體"/>
          <w:color w:val="000000" w:themeColor="text1"/>
          <w:kern w:val="0"/>
          <w:sz w:val="28"/>
          <w:szCs w:val="28"/>
        </w:rPr>
        <w:t>球場</w:t>
      </w:r>
      <w:bookmarkEnd w:id="17"/>
      <w:bookmarkEnd w:id="18"/>
      <w:bookmarkEnd w:id="19"/>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請根據教育部體育署103年度學校運動設施參考手冊，總則第四項風雨球場規劃時僅作籃球教學和休閒運動使用，屋頂挑高須達7公尺。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645AFD1F" wp14:editId="11AD8626">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E741B0" w:rsidRPr="00C1358C" w:rsidRDefault="00E741B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E741B0" w:rsidRPr="00C1358C" w:rsidRDefault="00E741B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E741B0" w:rsidRPr="009B54CF" w:rsidRDefault="00E741B0"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5AFD1F"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LbBHDAAAA2gAAAA8AAABkcnMvZG93bnJldi54bWxEj81qwzAQhO+BvIPYQG+J3FKS4Fo2bSG0&#10;x9RxDrkt1vqHWivXUm3n7atAIcdhZr5hkmw2nRhpcK1lBY+bCARxaXXLtYLidFjvQTiPrLGzTAqu&#10;5CBLl4sEY20n/qIx97UIEHYxKmi872MpXdmQQbexPXHwKjsY9EEOtdQDTgFuOvkURVtpsOWw0GBP&#10;7w2V3/mvUWAOx5/zx5usz/nzdDleKzvKwir1sJpfX0B4mv09/N/+1Ap2cLsSboB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tsEcMAAADaAAAADwAAAAAAAAAAAAAAAACf&#10;AgAAZHJzL2Rvd25yZXYueG1sUEsFBgAAAAAEAAQA9wAAAI8DAAAAAA==&#10;">
                  <v:imagedata r:id="rId15" o:title=""/>
                  <v:path arrowok="t"/>
                </v:shape>
                <v:line id="直線接點 26" o:spid="_x0000_s1042" style="position:absolute;flip:x;visibility:visible;mso-wrap-style:square" from="11658,1143" to="16459,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Ztr8AAADbAAAADwAAAGRycy9kb3ducmV2LnhtbESPzQrCMBCE74LvEFbwpqmCItUoKggK&#10;iviDeFyatS02m9JErW9vBMHjMDPfMJNZbQrxpMrllhX0uhEI4sTqnFMF59OqMwLhPLLGwjIpeJOD&#10;2bTZmGCs7YsP9Dz6VAQIuxgVZN6XsZQuycig69qSOHg3Wxn0QVap1BW+AtwUsh9FQ2kw57CQYUnL&#10;jJL78WEULOw1X9MC97y7JNfe4Ob0Zr9Vqt2q52MQnmr/D//aa62gP4Tvl/AD5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5mZtr8AAADbAAAADwAAAAAAAAAAAAAAAACh&#10;AgAAZHJzL2Rvd25yZXYueG1sUEsFBgAAAAAEAAQA+QAAAI0DAAAAAA==&#10;" strokecolor="#548dd4 [1951]" strokeweight="3pt"/>
                <v:line id="直線接點 27" o:spid="_x0000_s1043" style="position:absolute;visibility:visible;mso-wrap-style:square" from="16230,1219" to="2255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V2bcQAAADbAAAADwAAAGRycy9kb3ducmV2LnhtbESPQWvCQBSE74L/YXmFXqRujNJK6ipa&#10;KAjiwTTg9ZF9JsHs27C7xvTfu0Khx2FmvmFWm8G0oifnG8sKZtMEBHFpdcOVguLn+20Jwgdkja1l&#10;UvBLHjbr8WiFmbZ3PlGfh0pECPsMFdQhdJmUvqzJoJ/ajjh6F+sMhihdJbXDe4SbVqZJ8i4NNhwX&#10;auzoq6bymt+MgmO/6CaLtLCH5XlXpMFN9vPrTanXl2H7CSLQEP7Df+29VpB+wP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XZtxAAAANsAAAAPAAAAAAAAAAAA&#10;AAAAAKECAABkcnMvZG93bnJldi54bWxQSwUGAAAAAAQABAD5AAAAkgMAAAAA&#10;" strokecolor="#548dd4 [1951]" strokeweight="3pt"/>
                <v:shape id="_x0000_s1044" type="#_x0000_t202" style="position:absolute;left:22555;width:5867;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E741B0" w:rsidRPr="00C1358C" w:rsidRDefault="00E741B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E741B0" w:rsidRPr="00C1358C" w:rsidRDefault="00E741B0"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E741B0" w:rsidRPr="009B54CF" w:rsidRDefault="00E741B0"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td8QAAADbAAAADwAAAGRycy9kb3ducmV2LnhtbESPzYoCMRCE7wu+Q2jBi6wZPag7GkUE&#10;RZBd8OfirZm0k8FJZ0iijm9vFhb2WFTVV9R82dpaPMiHyrGC4SADQVw4XXGp4HzafE5BhIissXZM&#10;Cl4UYLnofMwx1+7JB3ocYykShEOOCkyMTS5lKAxZDAPXECfv6rzFmKQvpfb4THBby1GWjaXFitOC&#10;wYbWhorb8W4VbF/fO79vssvw2qebqfqTffkzUarXbVczEJHa+B/+a++0gtEX/H5JP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8613xAAAANsAAAAPAAAAAAAAAAAA&#10;AAAAAKECAABkcnMvZG93bnJldi54bWxQSwUGAAAAAAQABAD5AAAAkgM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rsidR="00373E63" w:rsidRPr="00EF6059" w:rsidRDefault="00373E63" w:rsidP="00373E63">
      <w:pPr>
        <w:widowControl/>
        <w:overflowPunct w:val="0"/>
        <w:spacing w:line="500" w:lineRule="exact"/>
        <w:ind w:left="2250"/>
        <w:jc w:val="both"/>
        <w:rPr>
          <w:rFonts w:eastAsia="標楷體"/>
          <w:noProof/>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圖五、主結構柱高起算點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每個球場之支柱需包覆由地面起算高度達2公尺防護墊（材質:EVA、厚度:30mm）。</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結構設計應符合「建築物耐風設計規範及解說」之規定，惟依據「國有公用不動產設置太陽光電發電設備租賃契約書」訂定基本設計風速在32.5公尺/秒以下地區者，須採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若採用鋁合金鋁擠型基材，其鋁合金材質應為6005T5或6061T5以上等級，並須符合結構安全要求。其表面處理方式採陽極處理厚度14µm以上及外加一層膜厚7µm 以上之</w:t>
      </w:r>
      <w:r w:rsidRPr="00EF6059">
        <w:rPr>
          <w:rFonts w:ascii="標楷體" w:eastAsia="標楷體" w:hAnsi="標楷體"/>
          <w:color w:val="000000" w:themeColor="text1"/>
          <w:kern w:val="0"/>
          <w:sz w:val="28"/>
          <w:szCs w:val="28"/>
        </w:rPr>
        <w:lastRenderedPageBreak/>
        <w:t>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
    <w:p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hint="eastAsia"/>
          <w:color w:val="000000" w:themeColor="text1"/>
          <w:sz w:val="28"/>
          <w:szCs w:val="28"/>
        </w:rPr>
        <w:t>球場面層設計</w:t>
      </w:r>
      <w:r w:rsidRPr="0012081D">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面層設計原則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考量風雨球場非能完全阻擋雨水進入，故球場基礎面層建議塗佈潮濕時仍具止滑度之壓克力面材，面層設計如表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面層施工原則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球場規線與規劃，請根據教育部體育署運動設施規範及分級分類參考手冊、教育部體育署</w:t>
      </w:r>
      <w:r w:rsidRPr="0012081D">
        <w:rPr>
          <w:rFonts w:hAnsi="標楷體" w:cs="新細明體"/>
          <w:color w:val="000000" w:themeColor="text1"/>
          <w:sz w:val="28"/>
          <w:szCs w:val="28"/>
          <w:lang w:bidi="ar-SA"/>
        </w:rPr>
        <w:t>103</w:t>
      </w:r>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-1、面層設計原則表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r w:rsidRPr="002A0E35">
              <w:rPr>
                <w:rFonts w:ascii="SimSun" w:eastAsia="SimSun" w:hAnsi="SimSun" w:cs="SimSun"/>
                <w:color w:val="000000"/>
                <w:spacing w:val="-6"/>
                <w:kern w:val="0"/>
                <w:lang w:eastAsia="en-US"/>
              </w:rPr>
              <w:t>材質</w:t>
            </w:r>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規格</w:t>
            </w:r>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說明</w:t>
            </w:r>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最底層：石土壓實</w:t>
            </w:r>
            <w:r w:rsidRPr="002A0E35">
              <w:rPr>
                <w:rFonts w:eastAsia="Times New Roman"/>
                <w:color w:val="000000"/>
                <w:kern w:val="0"/>
              </w:rPr>
              <w:t>(</w:t>
            </w:r>
            <w:r w:rsidRPr="002A0E35">
              <w:rPr>
                <w:rFonts w:ascii="SimSun" w:eastAsia="SimSun" w:hAnsi="SimSun" w:cs="SimSun"/>
                <w:color w:val="000000"/>
                <w:spacing w:val="-1"/>
                <w:kern w:val="0"/>
              </w:rPr>
              <w:t>夯實度</w:t>
            </w:r>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基礎結構採</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r w:rsidRPr="002A0E35">
              <w:rPr>
                <w:rFonts w:ascii="SimSun" w:eastAsia="SimSun" w:hAnsi="SimSun" w:cs="SimSun"/>
                <w:color w:val="000000"/>
                <w:spacing w:val="-1"/>
                <w:kern w:val="0"/>
                <w:lang w:eastAsia="en-US"/>
              </w:rPr>
              <w:t>公分以上厚度之級配</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r w:rsidRPr="002A0E35">
              <w:rPr>
                <w:rFonts w:ascii="SimSun" w:eastAsia="SimSun" w:hAnsi="SimSun" w:cs="SimSun"/>
                <w:color w:val="000000"/>
                <w:spacing w:val="-1"/>
                <w:kern w:val="0"/>
              </w:rPr>
              <w:t>厚粗級配瀝青混凝土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r w:rsidRPr="002A0E35">
              <w:rPr>
                <w:rFonts w:ascii="SimSun" w:eastAsia="SimSun" w:hAnsi="SimSun" w:cs="SimSun"/>
                <w:color w:val="000000"/>
                <w:spacing w:val="-1"/>
                <w:kern w:val="0"/>
              </w:rPr>
              <w:t>厚密級配瀝青混凝土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前先噴灑瀝青黏層</w:t>
            </w:r>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最表層：壓克力面材</w:t>
            </w:r>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道壓克力運動面層</w:t>
            </w:r>
            <w:r w:rsidRPr="003B1646">
              <w:rPr>
                <w:rFonts w:eastAsia="Times New Roman"/>
                <w:color w:val="000000"/>
                <w:spacing w:val="-1"/>
                <w:kern w:val="0"/>
              </w:rPr>
              <w:t>(</w:t>
            </w:r>
            <w:r w:rsidRPr="003B1646">
              <w:rPr>
                <w:rFonts w:ascii="新細明體" w:hAnsi="新細明體" w:cs="新細明體" w:hint="eastAsia"/>
                <w:color w:val="000000"/>
                <w:spacing w:val="-1"/>
                <w:kern w:val="0"/>
              </w:rPr>
              <w:t>含既有面層刨除、修補，施作複合彈性基材、壓克力基材、壓克力面材、畫線）</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潮濕時具止滑度，彩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層可適當摻入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r w:rsidRPr="002A0E35">
        <w:rPr>
          <w:sz w:val="28"/>
          <w:szCs w:val="28"/>
        </w:rPr>
        <w:lastRenderedPageBreak/>
        <w:t>面層設計規劃示意圖</w:t>
      </w:r>
    </w:p>
    <w:p w:rsidR="00373E63" w:rsidRDefault="00373E63" w:rsidP="00373E63">
      <w:pPr>
        <w:pStyle w:val="Default"/>
        <w:spacing w:after="190"/>
      </w:pPr>
      <w:r>
        <w:rPr>
          <w:noProof/>
          <w:lang w:bidi="ar-SA"/>
        </w:rPr>
        <w:drawing>
          <wp:inline distT="0" distB="0" distL="0" distR="0" wp14:anchorId="5C4AB4E8" wp14:editId="390B0A23">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14:anchorId="7790C318" wp14:editId="07995C85">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教育部體育署103年度學校運動設施設計參考手冊（依據教育部體育署103年度學校運動設施參考手冊，總則第四項風雨球場規劃時若僅作籃球教學和休閒運動使用，屋頂挑高須達7公尺。）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 xml:space="preserve">建築物耐風設計規範及解說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6663"/>
        <w:gridCol w:w="715"/>
        <w:gridCol w:w="590"/>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設置之棚架式太陽光電發電系統住高起算點為屋頂下緣算起7公尺，且須完整覆蓋整個施作標的基地。屋頂斜率以6~8度範圍內為佳。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r w:rsidRPr="00EF6059">
              <w:rPr>
                <w:rFonts w:ascii="標楷體" w:eastAsia="標楷體" w:hAnsi="標楷體"/>
                <w:color w:val="000000" w:themeColor="text1"/>
                <w:kern w:val="0"/>
              </w:rPr>
              <w:t>需包覆由地面起算高度達2公尺的防護墊(材質:EVA、厚度:3cm)，防止觸電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最底層：石土壓實(夯實度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4cm 厚粗級配瀝青混凝土(鋪設前先噴灑瀝青透層)</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道壓克力運動面層(含</w:t>
            </w:r>
            <w:r>
              <w:rPr>
                <w:rFonts w:ascii="標楷體" w:eastAsia="標楷體" w:hAnsi="標楷體"/>
                <w:color w:val="000000" w:themeColor="text1"/>
                <w:kern w:val="0"/>
              </w:rPr>
              <w:t>既有面層刨除</w:t>
            </w:r>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複合彈性基材、壓克力基材、壓克力面材、畫線）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太陽光電模組鋁框與鋼構材接觸位置是否加裝鐵氟龍絕緣墊片以隔開二者，避免產生電位差腐蝕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為避免場地濕滑，整體設計應達到防漏水。惟雨天是否可教學、提供民眾使用需視當天狀況而定。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結構設計應符合「建築物耐震設計規範及解說」之規定，其中用途係數（I），採I=1.25（含）以上作為設計與計算基礎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鍍鋅或電鍍鋅材質或不銹鋼材質等抗腐蝕材質，並取得抗腐蝕品質測試報告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支撐架金屬基材耐腐蝕性能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r w:rsidRPr="00EF6059">
        <w:rPr>
          <w:rFonts w:ascii="標楷體" w:eastAsia="標楷體" w:hAnsi="標楷體"/>
          <w:color w:val="000000" w:themeColor="text1"/>
          <w:kern w:val="0"/>
        </w:rPr>
        <w:t>註：</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檢驗結果須全部為是，若有否者，則需由得標廠商盡速修正，以完成檢驗。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71" w:rsidRDefault="00842371">
      <w:r>
        <w:separator/>
      </w:r>
    </w:p>
  </w:endnote>
  <w:endnote w:type="continuationSeparator" w:id="0">
    <w:p w:rsidR="00842371" w:rsidRDefault="0084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B0" w:rsidRDefault="00E741B0"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741B0" w:rsidRDefault="00E741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B0" w:rsidRDefault="00E741B0"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D1C6A">
      <w:rPr>
        <w:rStyle w:val="a9"/>
        <w:noProof/>
      </w:rPr>
      <w:t>22</w:t>
    </w:r>
    <w:r>
      <w:rPr>
        <w:rStyle w:val="a9"/>
      </w:rPr>
      <w:fldChar w:fldCharType="end"/>
    </w:r>
  </w:p>
  <w:p w:rsidR="00E741B0" w:rsidRDefault="00E741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71" w:rsidRDefault="00842371">
      <w:r>
        <w:separator/>
      </w:r>
    </w:p>
  </w:footnote>
  <w:footnote w:type="continuationSeparator" w:id="0">
    <w:p w:rsidR="00842371" w:rsidRDefault="00842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15:restartNumberingAfterBreak="0">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15:restartNumberingAfterBreak="0">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15:restartNumberingAfterBreak="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15:restartNumberingAfterBreak="0">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15:restartNumberingAfterBreak="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15:restartNumberingAfterBreak="0">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15:restartNumberingAfterBreak="0">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15:restartNumberingAfterBreak="0">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15:restartNumberingAfterBreak="0">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15:restartNumberingAfterBreak="0">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15:restartNumberingAfterBreak="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15:restartNumberingAfterBreak="0">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8CE"/>
    <w:rsid w:val="00031EFF"/>
    <w:rsid w:val="00032356"/>
    <w:rsid w:val="00033B70"/>
    <w:rsid w:val="00033D94"/>
    <w:rsid w:val="0003483B"/>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5E2"/>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43D3"/>
    <w:rsid w:val="00144F66"/>
    <w:rsid w:val="00145591"/>
    <w:rsid w:val="00147635"/>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4FEF"/>
    <w:rsid w:val="001F140D"/>
    <w:rsid w:val="001F4A11"/>
    <w:rsid w:val="001F5766"/>
    <w:rsid w:val="001F6FFF"/>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6014"/>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D0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36D88"/>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4103"/>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23B9"/>
    <w:rsid w:val="00563204"/>
    <w:rsid w:val="00563606"/>
    <w:rsid w:val="00563DB3"/>
    <w:rsid w:val="0056421F"/>
    <w:rsid w:val="0056676C"/>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1C6A"/>
    <w:rsid w:val="006D2039"/>
    <w:rsid w:val="006D2076"/>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266F"/>
    <w:rsid w:val="006F27A3"/>
    <w:rsid w:val="006F28D2"/>
    <w:rsid w:val="006F2AA7"/>
    <w:rsid w:val="006F53EF"/>
    <w:rsid w:val="006F6B02"/>
    <w:rsid w:val="006F6E3A"/>
    <w:rsid w:val="006F76B0"/>
    <w:rsid w:val="006F7F10"/>
    <w:rsid w:val="00700AF4"/>
    <w:rsid w:val="00700C66"/>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6366"/>
    <w:rsid w:val="00757367"/>
    <w:rsid w:val="007579A6"/>
    <w:rsid w:val="00757DEB"/>
    <w:rsid w:val="00757FAB"/>
    <w:rsid w:val="0076066F"/>
    <w:rsid w:val="0076270D"/>
    <w:rsid w:val="0076317E"/>
    <w:rsid w:val="0076386F"/>
    <w:rsid w:val="00763C79"/>
    <w:rsid w:val="0076452B"/>
    <w:rsid w:val="00764AD7"/>
    <w:rsid w:val="00766273"/>
    <w:rsid w:val="007672DA"/>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371"/>
    <w:rsid w:val="00842996"/>
    <w:rsid w:val="00842B84"/>
    <w:rsid w:val="00842C50"/>
    <w:rsid w:val="00843846"/>
    <w:rsid w:val="00843D11"/>
    <w:rsid w:val="0084428C"/>
    <w:rsid w:val="008452D8"/>
    <w:rsid w:val="00847515"/>
    <w:rsid w:val="00847C7F"/>
    <w:rsid w:val="00847F31"/>
    <w:rsid w:val="008512F6"/>
    <w:rsid w:val="00853DBB"/>
    <w:rsid w:val="00855728"/>
    <w:rsid w:val="00855C4D"/>
    <w:rsid w:val="0085600F"/>
    <w:rsid w:val="008568C4"/>
    <w:rsid w:val="00856B9D"/>
    <w:rsid w:val="00857397"/>
    <w:rsid w:val="00857CBC"/>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59E2"/>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BC4"/>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4436"/>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3F79"/>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4C80"/>
    <w:rsid w:val="00E64EA7"/>
    <w:rsid w:val="00E66A5F"/>
    <w:rsid w:val="00E66A93"/>
    <w:rsid w:val="00E674A7"/>
    <w:rsid w:val="00E679A0"/>
    <w:rsid w:val="00E679E2"/>
    <w:rsid w:val="00E70419"/>
    <w:rsid w:val="00E705A8"/>
    <w:rsid w:val="00E7111D"/>
    <w:rsid w:val="00E71A1C"/>
    <w:rsid w:val="00E738F8"/>
    <w:rsid w:val="00E7403D"/>
    <w:rsid w:val="00E740E5"/>
    <w:rsid w:val="00E741B0"/>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1308"/>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3D8B13-9410-401C-90AA-195E1E19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BB2F-3F38-4521-BC1C-FE444BE1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35</Pages>
  <Words>3321</Words>
  <Characters>18933</Characters>
  <Application>Microsoft Office Word</Application>
  <DocSecurity>0</DocSecurity>
  <Lines>157</Lines>
  <Paragraphs>44</Paragraphs>
  <ScaleCrop>false</ScaleCrop>
  <Company>iMAX Design.</Company>
  <LinksUpToDate>false</LinksUpToDate>
  <CharactersWithSpaces>22210</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Windows 使用者</cp:lastModifiedBy>
  <cp:revision>3</cp:revision>
  <cp:lastPrinted>2021-07-14T00:51:00Z</cp:lastPrinted>
  <dcterms:created xsi:type="dcterms:W3CDTF">2021-07-08T06:06:00Z</dcterms:created>
  <dcterms:modified xsi:type="dcterms:W3CDTF">2021-07-14T02:08:00Z</dcterms:modified>
</cp:coreProperties>
</file>