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bookmarkStart w:id="0" w:name="_GoBack"/>
      <w:bookmarkEnd w:id="0"/>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第一</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5</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7</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Style w:val="apple-style-span"/>
          <w:rFonts w:ascii="Times New Roman" w:hAnsi="Times New Roman" w:cs="Times New Roman"/>
          <w:bCs/>
          <w:color w:val="000000"/>
          <w:shd w:val="clear" w:color="auto" w:fill="FFFFFF"/>
        </w:rPr>
        <w:t>(</w:t>
      </w:r>
      <w:r w:rsidR="002E3BC7" w:rsidRPr="002E3BC7">
        <w:rPr>
          <w:rStyle w:val="apple-style-span"/>
          <w:rFonts w:ascii="標楷體" w:eastAsia="標楷體" w:hAnsi="標楷體" w:hint="eastAsia"/>
          <w:bCs/>
          <w:color w:val="000000"/>
          <w:shd w:val="clear" w:color="auto" w:fill="FFFFFF"/>
        </w:rPr>
        <w:t>報名截止日</w:t>
      </w:r>
      <w:r w:rsidR="002E3BC7" w:rsidRPr="002E3BC7">
        <w:rPr>
          <w:rStyle w:val="apple-style-span"/>
          <w:rFonts w:ascii="Times New Roman" w:hAnsi="Times New Roman" w:cs="Times New Roman"/>
          <w:bCs/>
          <w:color w:val="000000"/>
          <w:shd w:val="clear" w:color="auto" w:fill="FFFFFF"/>
        </w:rPr>
        <w:t>:1/31)</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:2/5)</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3A34B3" w:rsidP="00033B6F">
            <w:pPr>
              <w:spacing w:line="360" w:lineRule="auto"/>
              <w:rPr>
                <w:rFonts w:ascii="標楷體" w:eastAsia="標楷體" w:hAnsi="標楷體"/>
                <w:b/>
              </w:rPr>
            </w:pPr>
            <w:r>
              <w:rPr>
                <w:rFonts w:ascii="標楷體" w:eastAsia="標楷體" w:hAnsi="標楷體"/>
                <w:b/>
                <w:noProof/>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59690</wp:posOffset>
                  </wp:positionV>
                  <wp:extent cx="1247775" cy="12477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第一期英語教師班報名網址: </w:t>
            </w:r>
          </w:p>
          <w:p w:rsidR="003A34B3" w:rsidRPr="00033B6F" w:rsidRDefault="001B5A02" w:rsidP="00DD42BF">
            <w:pPr>
              <w:rPr>
                <w:rFonts w:ascii="標楷體" w:eastAsia="標楷體" w:hAnsi="標楷體"/>
                <w:b/>
                <w:szCs w:val="24"/>
              </w:rPr>
            </w:pPr>
            <w:hyperlink r:id="rId8" w:history="1">
              <w:r w:rsidR="003A34B3" w:rsidRPr="005F2CD7">
                <w:rPr>
                  <w:rStyle w:val="a9"/>
                  <w:rFonts w:ascii="標楷體" w:eastAsia="標楷體" w:hAnsi="標楷體"/>
                  <w:szCs w:val="24"/>
                </w:rPr>
                <w:t>https://goo.gl/QFk21t</w:t>
              </w:r>
            </w:hyperlink>
            <w:r w:rsidR="003A34B3">
              <w:rPr>
                <w:rStyle w:val="a9"/>
                <w:rFonts w:ascii="標楷體" w:eastAsia="標楷體" w:hAnsi="標楷體" w:hint="eastAsia"/>
                <w:szCs w:val="24"/>
              </w:rPr>
              <w:t xml:space="preserve"> </w:t>
            </w:r>
          </w:p>
        </w:tc>
        <w:tc>
          <w:tcPr>
            <w:tcW w:w="6237" w:type="dxa"/>
          </w:tcPr>
          <w:p w:rsidR="003A34B3" w:rsidRDefault="003A34B3" w:rsidP="003A34B3">
            <w:pPr>
              <w:rPr>
                <w:rFonts w:ascii="標楷體" w:eastAsia="標楷體" w:hAnsi="標楷體"/>
                <w:b/>
              </w:rPr>
            </w:pPr>
            <w:r>
              <w:rPr>
                <w:rFonts w:ascii="標楷體" w:eastAsia="標楷體" w:hAnsi="標楷體" w:cs="Times New Roman"/>
                <w:noProof/>
                <w:szCs w:val="24"/>
                <w:shd w:val="clear" w:color="auto" w:fill="FFF9E7"/>
              </w:rPr>
              <w:drawing>
                <wp:anchor distT="0" distB="0" distL="114300" distR="114300" simplePos="0" relativeHeight="251659264" behindDoc="0" locked="0" layoutInCell="1" allowOverlap="1" wp14:anchorId="3BE5C6AD" wp14:editId="7903AB64">
                  <wp:simplePos x="0" y="0"/>
                  <wp:positionH relativeFrom="column">
                    <wp:posOffset>2574290</wp:posOffset>
                  </wp:positionH>
                  <wp:positionV relativeFrom="paragraph">
                    <wp:posOffset>12065</wp:posOffset>
                  </wp:positionV>
                  <wp:extent cx="1304925" cy="1304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第一期領域學科教師班報名網址: </w:t>
            </w:r>
          </w:p>
          <w:p w:rsidR="003A34B3" w:rsidRDefault="001B5A02" w:rsidP="003A34B3">
            <w:pPr>
              <w:spacing w:line="360" w:lineRule="auto"/>
              <w:rPr>
                <w:rFonts w:ascii="標楷體" w:eastAsia="標楷體" w:hAnsi="標楷體"/>
                <w:b/>
              </w:rPr>
            </w:pPr>
            <w:hyperlink r:id="rId10" w:history="1">
              <w:r w:rsidR="003A34B3" w:rsidRPr="00A21058">
                <w:rPr>
                  <w:rStyle w:val="a9"/>
                  <w:rFonts w:ascii="標楷體" w:eastAsia="標楷體" w:hAnsi="標楷體"/>
                  <w:b/>
                  <w:szCs w:val="24"/>
                </w:rPr>
                <w:t>https://goo.gl/1iv2qY</w:t>
              </w:r>
            </w:hyperlink>
          </w:p>
        </w:tc>
      </w:tr>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1B5A02" w:rsidP="003A34B3">
            <w:hyperlink r:id="rId12"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1B5A02"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lastRenderedPageBreak/>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1B5A02" w:rsidP="00DD42BF">
            <w:pPr>
              <w:rPr>
                <w:rFonts w:ascii="標楷體" w:eastAsia="標楷體" w:hAnsi="標楷體"/>
                <w:b/>
                <w:szCs w:val="24"/>
              </w:rPr>
            </w:pPr>
            <w:hyperlink r:id="rId16"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1B5A02" w:rsidP="003A34B3">
            <w:pPr>
              <w:rPr>
                <w:rFonts w:ascii="標楷體" w:eastAsia="標楷體" w:hAnsi="標楷體"/>
                <w:b/>
                <w:szCs w:val="24"/>
              </w:rPr>
            </w:pPr>
            <w:hyperlink r:id="rId18"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lastRenderedPageBreak/>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lastRenderedPageBreak/>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BB2C07" w:rsidRPr="00C3770F" w:rsidRDefault="00BB2C07" w:rsidP="00BB2C07">
      <w:pPr>
        <w:widowControl/>
      </w:pPr>
      <w:r>
        <w:rPr>
          <w:rFonts w:ascii="標楷體" w:eastAsia="標楷體" w:hAnsi="標楷體" w:hint="eastAsia"/>
          <w:b/>
          <w:sz w:val="28"/>
          <w:szCs w:val="28"/>
        </w:rPr>
        <w:lastRenderedPageBreak/>
        <w:t>第</w:t>
      </w:r>
      <w:r w:rsidR="00CE0E07">
        <w:rPr>
          <w:rFonts w:ascii="標楷體" w:eastAsia="標楷體" w:hAnsi="標楷體" w:hint="eastAsia"/>
          <w:b/>
          <w:sz w:val="28"/>
          <w:szCs w:val="28"/>
        </w:rPr>
        <w:t>一</w:t>
      </w:r>
      <w:r>
        <w:rPr>
          <w:rFonts w:ascii="標楷體" w:eastAsia="標楷體" w:hAnsi="標楷體" w:hint="eastAsia"/>
          <w:b/>
          <w:sz w:val="28"/>
          <w:szCs w:val="28"/>
        </w:rPr>
        <w:t xml:space="preserve">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02" w:rsidRDefault="001B5A02" w:rsidP="00121876">
      <w:r>
        <w:separator/>
      </w:r>
    </w:p>
  </w:endnote>
  <w:endnote w:type="continuationSeparator" w:id="0">
    <w:p w:rsidR="001B5A02" w:rsidRDefault="001B5A02"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02" w:rsidRDefault="001B5A02" w:rsidP="00121876">
      <w:r>
        <w:separator/>
      </w:r>
    </w:p>
  </w:footnote>
  <w:footnote w:type="continuationSeparator" w:id="0">
    <w:p w:rsidR="001B5A02" w:rsidRDefault="001B5A02"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1B5A02"/>
    <w:rsid w:val="00265AC6"/>
    <w:rsid w:val="002700EF"/>
    <w:rsid w:val="00297F2E"/>
    <w:rsid w:val="002E3652"/>
    <w:rsid w:val="002E3BC7"/>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AE0010"/>
    <w:rsid w:val="00B00709"/>
    <w:rsid w:val="00B21104"/>
    <w:rsid w:val="00BB2C07"/>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k21t" TargetMode="External"/><Relationship Id="rId13" Type="http://schemas.openxmlformats.org/officeDocument/2006/relationships/image" Target="media/image4.png"/><Relationship Id="rId18" Type="http://schemas.openxmlformats.org/officeDocument/2006/relationships/hyperlink" Target="https://goo.gl/8nHYc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26ABEL"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goo.gl/Vddp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goo.gl/1iv2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oo.gl/qSAQ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2</cp:revision>
  <dcterms:created xsi:type="dcterms:W3CDTF">2018-01-29T09:01:00Z</dcterms:created>
  <dcterms:modified xsi:type="dcterms:W3CDTF">2018-01-29T09:01:00Z</dcterms:modified>
</cp:coreProperties>
</file>